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026"/>
      </w:tblGrid>
      <w:tr w:rsidR="00A95DBC" w:rsidRPr="00A95DBC" w:rsidTr="00A95DBC">
        <w:tc>
          <w:tcPr>
            <w:tcW w:w="9242" w:type="dxa"/>
            <w:shd w:val="clear" w:color="auto" w:fill="2E74B5" w:themeFill="accent1" w:themeFillShade="BF"/>
          </w:tcPr>
          <w:p w:rsidR="00A95DBC" w:rsidRPr="00A95DBC" w:rsidRDefault="00A95DBC" w:rsidP="00A95DBC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48"/>
                <w:szCs w:val="48"/>
              </w:rPr>
            </w:pPr>
            <w:r w:rsidRPr="00A95DBC">
              <w:rPr>
                <w:rFonts w:asciiTheme="majorHAnsi" w:hAnsiTheme="majorHAnsi" w:cstheme="minorHAnsi"/>
                <w:b/>
                <w:color w:val="FFFFFF" w:themeColor="background1"/>
                <w:sz w:val="48"/>
                <w:szCs w:val="48"/>
              </w:rPr>
              <w:t xml:space="preserve">Year </w:t>
            </w:r>
            <w:r w:rsidR="00DF226A">
              <w:rPr>
                <w:rFonts w:asciiTheme="majorHAnsi" w:hAnsiTheme="majorHAnsi" w:cstheme="minorHAnsi"/>
                <w:b/>
                <w:color w:val="FFFFFF" w:themeColor="background1"/>
                <w:sz w:val="48"/>
                <w:szCs w:val="48"/>
              </w:rPr>
              <w:t>7 Catch Up Funding</w:t>
            </w:r>
          </w:p>
          <w:p w:rsidR="00A95DBC" w:rsidRPr="00A95DBC" w:rsidRDefault="006360F0" w:rsidP="00A95DBC">
            <w:pPr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48"/>
                <w:szCs w:val="48"/>
              </w:rPr>
            </w:pPr>
            <w:r>
              <w:rPr>
                <w:rFonts w:asciiTheme="majorHAnsi" w:hAnsiTheme="majorHAnsi" w:cstheme="minorHAnsi"/>
                <w:b/>
                <w:color w:val="FFFFFF" w:themeColor="background1"/>
                <w:sz w:val="48"/>
                <w:szCs w:val="48"/>
              </w:rPr>
              <w:t>2018-2019</w:t>
            </w:r>
          </w:p>
        </w:tc>
      </w:tr>
    </w:tbl>
    <w:p w:rsidR="008A116A" w:rsidRPr="005262E0" w:rsidRDefault="008A116A" w:rsidP="004C64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</w:p>
    <w:p w:rsidR="004C6442" w:rsidRPr="005262E0" w:rsidRDefault="005262E0" w:rsidP="004C64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Year 7 </w:t>
      </w:r>
      <w:r w:rsidR="004C6442" w:rsidRPr="005262E0">
        <w:rPr>
          <w:rFonts w:asciiTheme="majorHAnsi" w:hAnsiTheme="majorHAnsi" w:cstheme="minorHAnsi"/>
          <w:b/>
          <w:bCs/>
          <w:sz w:val="28"/>
          <w:szCs w:val="28"/>
        </w:rPr>
        <w:t>Catch-Up Funding</w:t>
      </w:r>
      <w:r>
        <w:rPr>
          <w:rFonts w:asciiTheme="majorHAnsi" w:hAnsiTheme="majorHAnsi" w:cstheme="minorHAnsi"/>
          <w:b/>
          <w:bCs/>
          <w:sz w:val="28"/>
          <w:szCs w:val="28"/>
        </w:rPr>
        <w:t xml:space="preserve"> (£10,</w:t>
      </w:r>
      <w:r w:rsidR="00850525">
        <w:rPr>
          <w:rFonts w:asciiTheme="majorHAnsi" w:hAnsiTheme="majorHAnsi" w:cstheme="minorHAnsi"/>
          <w:b/>
          <w:bCs/>
          <w:sz w:val="28"/>
          <w:szCs w:val="28"/>
        </w:rPr>
        <w:t>563</w:t>
      </w:r>
      <w:bookmarkStart w:id="0" w:name="_GoBack"/>
      <w:bookmarkEnd w:id="0"/>
      <w:r>
        <w:rPr>
          <w:rFonts w:asciiTheme="majorHAnsi" w:hAnsiTheme="majorHAnsi" w:cstheme="minorHAnsi"/>
          <w:b/>
          <w:bCs/>
          <w:sz w:val="28"/>
          <w:szCs w:val="28"/>
        </w:rPr>
        <w:t>)</w:t>
      </w:r>
    </w:p>
    <w:p w:rsidR="004C6442" w:rsidRPr="005262E0" w:rsidRDefault="004C6442" w:rsidP="004C644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</w:p>
    <w:p w:rsidR="00D343C6" w:rsidRPr="005262E0" w:rsidRDefault="00D343C6" w:rsidP="00D343C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  <w:sz w:val="28"/>
          <w:szCs w:val="28"/>
        </w:rPr>
      </w:pPr>
      <w:r w:rsidRPr="005262E0"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>Literacy and numeracy catch-up funding provides schools with an additional £500 for each pupil who did not achi</w:t>
      </w:r>
      <w:r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 xml:space="preserve">eve the expected standard </w:t>
      </w:r>
      <w:r w:rsidRPr="005262E0"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>in English reading and/or mathematics at the end of Key</w:t>
      </w:r>
      <w:r w:rsidRPr="005262E0">
        <w:rPr>
          <w:rFonts w:asciiTheme="majorHAnsi" w:eastAsia="Times New Roman" w:hAnsiTheme="majorHAnsi" w:cs="Times New Roman"/>
          <w:b/>
          <w:bCs/>
          <w:i/>
          <w:iCs/>
          <w:color w:val="212121"/>
          <w:sz w:val="28"/>
          <w:szCs w:val="28"/>
        </w:rPr>
        <w:t xml:space="preserve"> </w:t>
      </w:r>
      <w:r w:rsidRPr="005262E0"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 xml:space="preserve">Stage 2. </w:t>
      </w:r>
      <w:r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 xml:space="preserve">Southmoor has received </w:t>
      </w:r>
      <w:r w:rsidR="00617620"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>£</w:t>
      </w:r>
      <w:r w:rsidR="00617620" w:rsidRPr="00617620"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>10,563.00</w:t>
      </w:r>
      <w:r w:rsidR="00617620"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 xml:space="preserve"> (March 2018) </w:t>
      </w:r>
      <w:r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 xml:space="preserve">towards catch-up of which 50% is </w:t>
      </w:r>
      <w:r w:rsidRPr="005262E0"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>allocated for li</w:t>
      </w:r>
      <w:r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>teracy initiatives and 50% for numeracy initiatives.</w:t>
      </w:r>
    </w:p>
    <w:p w:rsidR="004C6442" w:rsidRDefault="004C6442" w:rsidP="004C644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</w:pPr>
      <w:r w:rsidRPr="005262E0">
        <w:rPr>
          <w:rFonts w:asciiTheme="majorHAnsi" w:eastAsia="Times New Roman" w:hAnsiTheme="majorHAnsi" w:cs="Times New Roman"/>
          <w:bCs/>
          <w:iCs/>
          <w:color w:val="212121"/>
          <w:sz w:val="28"/>
          <w:szCs w:val="28"/>
        </w:rPr>
        <w:t> </w:t>
      </w:r>
    </w:p>
    <w:p w:rsidR="005262E0" w:rsidRDefault="005262E0" w:rsidP="004C644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Cs/>
          <w:color w:val="212121"/>
          <w:sz w:val="28"/>
          <w:szCs w:val="28"/>
        </w:rPr>
      </w:pPr>
      <w:r w:rsidRPr="005262E0">
        <w:rPr>
          <w:rFonts w:asciiTheme="majorHAnsi" w:eastAsia="Times New Roman" w:hAnsiTheme="majorHAnsi" w:cs="Times New Roman"/>
          <w:b/>
          <w:bCs/>
          <w:iCs/>
          <w:color w:val="212121"/>
          <w:sz w:val="28"/>
          <w:szCs w:val="28"/>
        </w:rPr>
        <w:t>Literacy Catch-up</w:t>
      </w:r>
    </w:p>
    <w:p w:rsidR="00345908" w:rsidRDefault="00345908" w:rsidP="004C644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Cs/>
          <w:color w:val="212121"/>
          <w:sz w:val="28"/>
          <w:szCs w:val="28"/>
        </w:rPr>
      </w:pPr>
    </w:p>
    <w:p w:rsidR="00345908" w:rsidRPr="005262E0" w:rsidRDefault="00345908" w:rsidP="004C644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Cs/>
          <w:color w:val="212121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iCs/>
          <w:color w:val="212121"/>
          <w:sz w:val="28"/>
          <w:szCs w:val="28"/>
        </w:rPr>
        <w:t>Initia</w:t>
      </w:r>
      <w:r w:rsidR="008E1943">
        <w:rPr>
          <w:rFonts w:asciiTheme="majorHAnsi" w:eastAsia="Times New Roman" w:hAnsiTheme="majorHAnsi" w:cs="Times New Roman"/>
          <w:b/>
          <w:bCs/>
          <w:iCs/>
          <w:color w:val="212121"/>
          <w:sz w:val="28"/>
          <w:szCs w:val="28"/>
        </w:rPr>
        <w:t>tives and Deployment of Funding</w:t>
      </w:r>
    </w:p>
    <w:p w:rsidR="005262E0" w:rsidRDefault="005262E0" w:rsidP="004C644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  <w:sz w:val="28"/>
          <w:szCs w:val="28"/>
        </w:rPr>
      </w:pPr>
    </w:p>
    <w:p w:rsidR="0066581E" w:rsidRPr="004F44C7" w:rsidRDefault="00617620" w:rsidP="006658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Weakest catch-up pupils have </w:t>
      </w:r>
      <w:r w:rsidR="0066581E">
        <w:rPr>
          <w:rFonts w:asciiTheme="majorHAnsi" w:hAnsiTheme="majorHAnsi" w:cstheme="minorHAnsi"/>
          <w:sz w:val="28"/>
          <w:szCs w:val="28"/>
        </w:rPr>
        <w:t xml:space="preserve">1:1 literacy </w:t>
      </w:r>
      <w:r>
        <w:rPr>
          <w:rFonts w:asciiTheme="majorHAnsi" w:hAnsiTheme="majorHAnsi" w:cstheme="minorHAnsi"/>
          <w:sz w:val="28"/>
          <w:szCs w:val="28"/>
        </w:rPr>
        <w:t>catch-up</w:t>
      </w:r>
      <w:r w:rsidR="0066581E">
        <w:rPr>
          <w:rFonts w:asciiTheme="majorHAnsi" w:hAnsiTheme="majorHAnsi" w:cstheme="minorHAnsi"/>
          <w:sz w:val="28"/>
          <w:szCs w:val="28"/>
        </w:rPr>
        <w:t xml:space="preserve"> intervention twice per week for a 20-25 min session with a trained learning support assistant using the </w:t>
      </w:r>
      <w:r>
        <w:rPr>
          <w:rFonts w:asciiTheme="majorHAnsi" w:hAnsiTheme="majorHAnsi" w:cstheme="minorHAnsi"/>
          <w:sz w:val="28"/>
          <w:szCs w:val="28"/>
        </w:rPr>
        <w:t>Catch-up</w:t>
      </w:r>
      <w:r w:rsidR="0066581E">
        <w:rPr>
          <w:rFonts w:asciiTheme="majorHAnsi" w:hAnsiTheme="majorHAnsi" w:cstheme="minorHAnsi"/>
          <w:sz w:val="28"/>
          <w:szCs w:val="28"/>
        </w:rPr>
        <w:t>© Programme of intervention.</w:t>
      </w:r>
      <w:r w:rsidR="002640E2">
        <w:rPr>
          <w:rFonts w:asciiTheme="majorHAnsi" w:hAnsiTheme="majorHAnsi" w:cstheme="minorHAnsi"/>
          <w:sz w:val="28"/>
          <w:szCs w:val="28"/>
        </w:rPr>
        <w:t xml:space="preserve"> The target group for this will be </w:t>
      </w:r>
      <w:r w:rsidR="003D4013">
        <w:rPr>
          <w:rFonts w:asciiTheme="majorHAnsi" w:hAnsiTheme="majorHAnsi" w:cstheme="minorHAnsi"/>
          <w:sz w:val="28"/>
          <w:szCs w:val="28"/>
        </w:rPr>
        <w:t xml:space="preserve">the </w:t>
      </w:r>
      <w:r w:rsidR="002640E2">
        <w:rPr>
          <w:rFonts w:asciiTheme="majorHAnsi" w:hAnsiTheme="majorHAnsi" w:cstheme="minorHAnsi"/>
          <w:sz w:val="28"/>
          <w:szCs w:val="28"/>
        </w:rPr>
        <w:t xml:space="preserve">20 pupils with the weakest </w:t>
      </w:r>
      <w:r w:rsidR="003D4013">
        <w:rPr>
          <w:rFonts w:asciiTheme="majorHAnsi" w:hAnsiTheme="majorHAnsi" w:cstheme="minorHAnsi"/>
          <w:sz w:val="28"/>
          <w:szCs w:val="28"/>
        </w:rPr>
        <w:t xml:space="preserve">standardised </w:t>
      </w:r>
      <w:r w:rsidR="002640E2">
        <w:rPr>
          <w:rFonts w:asciiTheme="majorHAnsi" w:hAnsiTheme="majorHAnsi" w:cstheme="minorHAnsi"/>
          <w:sz w:val="28"/>
          <w:szCs w:val="28"/>
        </w:rPr>
        <w:t>scores</w:t>
      </w:r>
      <w:r w:rsidR="003D4013">
        <w:rPr>
          <w:rFonts w:asciiTheme="majorHAnsi" w:hAnsiTheme="majorHAnsi" w:cstheme="minorHAnsi"/>
          <w:sz w:val="28"/>
          <w:szCs w:val="28"/>
        </w:rPr>
        <w:t xml:space="preserve"> from the reading test at the end of KS2</w:t>
      </w:r>
      <w:r w:rsidR="002640E2">
        <w:rPr>
          <w:rFonts w:asciiTheme="majorHAnsi" w:hAnsiTheme="majorHAnsi" w:cstheme="minorHAnsi"/>
          <w:sz w:val="28"/>
          <w:szCs w:val="28"/>
        </w:rPr>
        <w:t>.</w:t>
      </w:r>
    </w:p>
    <w:p w:rsidR="0066581E" w:rsidRDefault="0066581E" w:rsidP="006658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Early Morning Reading (EMR) Programme for all pupils who did not achieve the expected standard in reading at the end of KS2.</w:t>
      </w:r>
      <w:r w:rsidR="002640E2">
        <w:rPr>
          <w:rFonts w:asciiTheme="majorHAnsi" w:hAnsiTheme="majorHAnsi" w:cstheme="minorHAnsi"/>
          <w:sz w:val="28"/>
          <w:szCs w:val="28"/>
        </w:rPr>
        <w:t xml:space="preserve"> Target group will be any pupils who achieved a standardised score less than 100 in the reading test at the end of KS2.</w:t>
      </w:r>
    </w:p>
    <w:p w:rsidR="00617620" w:rsidRPr="00617620" w:rsidRDefault="00617620" w:rsidP="00617620">
      <w:pPr>
        <w:pStyle w:val="ListParagraph"/>
        <w:numPr>
          <w:ilvl w:val="0"/>
          <w:numId w:val="12"/>
        </w:numPr>
        <w:rPr>
          <w:rFonts w:asciiTheme="majorHAnsi" w:hAnsiTheme="majorHAnsi" w:cstheme="minorHAnsi"/>
          <w:sz w:val="28"/>
          <w:szCs w:val="28"/>
        </w:rPr>
      </w:pPr>
      <w:r w:rsidRPr="00617620">
        <w:rPr>
          <w:rFonts w:asciiTheme="majorHAnsi" w:hAnsiTheme="majorHAnsi" w:cstheme="minorHAnsi"/>
          <w:sz w:val="28"/>
          <w:szCs w:val="28"/>
        </w:rPr>
        <w:t xml:space="preserve">Catch-up© Literacy top up training for learning support staff. </w:t>
      </w:r>
    </w:p>
    <w:p w:rsidR="007F273D" w:rsidRDefault="007F273D" w:rsidP="006658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New Group </w:t>
      </w:r>
      <w:r w:rsidR="003847E1">
        <w:rPr>
          <w:rFonts w:asciiTheme="majorHAnsi" w:hAnsiTheme="majorHAnsi" w:cstheme="minorHAnsi"/>
          <w:sz w:val="28"/>
          <w:szCs w:val="28"/>
        </w:rPr>
        <w:t xml:space="preserve">Standardised </w:t>
      </w:r>
      <w:r>
        <w:rPr>
          <w:rFonts w:asciiTheme="majorHAnsi" w:hAnsiTheme="majorHAnsi" w:cstheme="minorHAnsi"/>
          <w:sz w:val="28"/>
          <w:szCs w:val="28"/>
        </w:rPr>
        <w:t>Reading Test (NGRT)</w:t>
      </w:r>
      <w:r w:rsidR="00617620">
        <w:rPr>
          <w:rFonts w:asciiTheme="majorHAnsi" w:hAnsiTheme="majorHAnsi" w:cstheme="minorHAnsi"/>
          <w:sz w:val="28"/>
          <w:szCs w:val="28"/>
        </w:rPr>
        <w:t xml:space="preserve"> to measure impact of EMR</w:t>
      </w:r>
    </w:p>
    <w:p w:rsidR="0066581E" w:rsidRPr="004F44C7" w:rsidRDefault="0066581E" w:rsidP="006658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Resources to support the </w:t>
      </w:r>
      <w:r w:rsidR="00617620">
        <w:rPr>
          <w:rFonts w:asciiTheme="majorHAnsi" w:hAnsiTheme="majorHAnsi" w:cstheme="minorHAnsi"/>
          <w:sz w:val="28"/>
          <w:szCs w:val="28"/>
        </w:rPr>
        <w:t>EMR programme</w:t>
      </w:r>
      <w:r w:rsidR="00E96C28">
        <w:rPr>
          <w:rFonts w:asciiTheme="majorHAnsi" w:hAnsiTheme="majorHAnsi" w:cstheme="minorHAnsi"/>
          <w:sz w:val="28"/>
          <w:szCs w:val="28"/>
        </w:rPr>
        <w:t xml:space="preserve"> and literacy </w:t>
      </w:r>
      <w:r>
        <w:rPr>
          <w:rFonts w:asciiTheme="majorHAnsi" w:hAnsiTheme="majorHAnsi" w:cstheme="minorHAnsi"/>
          <w:sz w:val="28"/>
          <w:szCs w:val="28"/>
        </w:rPr>
        <w:t>lessons.</w:t>
      </w:r>
    </w:p>
    <w:p w:rsidR="00617620" w:rsidRDefault="0066581E" w:rsidP="00617620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Bes</w:t>
      </w:r>
      <w:r w:rsidR="00E96C28">
        <w:rPr>
          <w:rFonts w:asciiTheme="majorHAnsi" w:hAnsiTheme="majorHAnsi" w:cstheme="minorHAnsi"/>
          <w:sz w:val="28"/>
          <w:szCs w:val="28"/>
        </w:rPr>
        <w:t>poke literacy</w:t>
      </w:r>
      <w:r>
        <w:rPr>
          <w:rFonts w:asciiTheme="majorHAnsi" w:hAnsiTheme="majorHAnsi" w:cstheme="minorHAnsi"/>
          <w:sz w:val="28"/>
          <w:szCs w:val="28"/>
        </w:rPr>
        <w:t xml:space="preserve"> lesson each week for </w:t>
      </w:r>
      <w:r w:rsidR="00E96C28">
        <w:rPr>
          <w:rFonts w:asciiTheme="majorHAnsi" w:hAnsiTheme="majorHAnsi" w:cstheme="minorHAnsi"/>
          <w:sz w:val="28"/>
          <w:szCs w:val="28"/>
        </w:rPr>
        <w:t xml:space="preserve">all </w:t>
      </w:r>
      <w:r w:rsidR="00617620">
        <w:rPr>
          <w:rFonts w:asciiTheme="majorHAnsi" w:hAnsiTheme="majorHAnsi" w:cstheme="minorHAnsi"/>
          <w:sz w:val="28"/>
          <w:szCs w:val="28"/>
        </w:rPr>
        <w:t>catch-up</w:t>
      </w:r>
      <w:r>
        <w:rPr>
          <w:rFonts w:asciiTheme="majorHAnsi" w:hAnsiTheme="majorHAnsi" w:cstheme="minorHAnsi"/>
          <w:sz w:val="28"/>
          <w:szCs w:val="28"/>
        </w:rPr>
        <w:t xml:space="preserve"> pupils.</w:t>
      </w:r>
      <w:r w:rsidR="00617620" w:rsidRPr="00617620">
        <w:t xml:space="preserve"> </w:t>
      </w:r>
    </w:p>
    <w:p w:rsidR="0066581E" w:rsidRDefault="00617620" w:rsidP="00617620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Q</w:t>
      </w:r>
      <w:r w:rsidRPr="00617620">
        <w:rPr>
          <w:rFonts w:asciiTheme="majorHAnsi" w:hAnsiTheme="majorHAnsi" w:cstheme="minorHAnsi"/>
          <w:sz w:val="28"/>
          <w:szCs w:val="28"/>
        </w:rPr>
        <w:t>uestion level analysis function (QLA) in the Analyse School Performance (ASP)</w:t>
      </w:r>
      <w:r>
        <w:rPr>
          <w:rFonts w:asciiTheme="majorHAnsi" w:hAnsiTheme="majorHAnsi" w:cstheme="minorHAnsi"/>
          <w:sz w:val="28"/>
          <w:szCs w:val="28"/>
        </w:rPr>
        <w:t xml:space="preserve"> service, and from NGRT is used </w:t>
      </w:r>
      <w:r w:rsidRPr="00617620">
        <w:rPr>
          <w:rFonts w:asciiTheme="majorHAnsi" w:hAnsiTheme="majorHAnsi" w:cstheme="minorHAnsi"/>
          <w:sz w:val="28"/>
          <w:szCs w:val="28"/>
        </w:rPr>
        <w:t>to identify specific areas to focus on with New Year 7s who haven’t reached the expected standard in key stage 2 tests.</w:t>
      </w:r>
    </w:p>
    <w:p w:rsidR="0066581E" w:rsidRDefault="0066581E" w:rsidP="0066581E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Use of show my homework to set regular catch up homework.</w:t>
      </w:r>
    </w:p>
    <w:p w:rsidR="00E96C28" w:rsidRPr="004F44C7" w:rsidRDefault="00E96C28" w:rsidP="0066581E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Weekly spelling tests</w:t>
      </w:r>
    </w:p>
    <w:p w:rsidR="0066581E" w:rsidRDefault="0066581E" w:rsidP="0066581E">
      <w:pPr>
        <w:jc w:val="both"/>
        <w:rPr>
          <w:rFonts w:asciiTheme="majorHAnsi" w:hAnsiTheme="majorHAnsi" w:cstheme="minorHAnsi"/>
          <w:sz w:val="28"/>
          <w:szCs w:val="28"/>
        </w:rPr>
      </w:pPr>
    </w:p>
    <w:p w:rsidR="00617620" w:rsidRDefault="00617620" w:rsidP="005262E0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</w:p>
    <w:p w:rsidR="00617620" w:rsidRDefault="00617620" w:rsidP="005262E0">
      <w:pPr>
        <w:shd w:val="clear" w:color="auto" w:fill="FFFFFF"/>
        <w:spacing w:after="0" w:line="240" w:lineRule="auto"/>
        <w:rPr>
          <w:rFonts w:asciiTheme="majorHAnsi" w:hAnsiTheme="majorHAnsi" w:cstheme="minorHAnsi"/>
          <w:b/>
          <w:bCs/>
          <w:sz w:val="28"/>
          <w:szCs w:val="28"/>
        </w:rPr>
      </w:pPr>
    </w:p>
    <w:p w:rsidR="005262E0" w:rsidRPr="005262E0" w:rsidRDefault="00766FF8" w:rsidP="005262E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12121"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lastRenderedPageBreak/>
        <w:t>Numeracy Catch-</w:t>
      </w:r>
      <w:r w:rsidR="005262E0">
        <w:rPr>
          <w:rFonts w:asciiTheme="majorHAnsi" w:hAnsiTheme="majorHAnsi" w:cstheme="minorHAnsi"/>
          <w:b/>
          <w:bCs/>
          <w:sz w:val="28"/>
          <w:szCs w:val="28"/>
        </w:rPr>
        <w:t>Up</w:t>
      </w:r>
    </w:p>
    <w:p w:rsidR="005262E0" w:rsidRPr="005262E0" w:rsidRDefault="005262E0" w:rsidP="005262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</w:p>
    <w:p w:rsidR="005262E0" w:rsidRPr="005262E0" w:rsidRDefault="005262E0" w:rsidP="005262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Initiatives and </w:t>
      </w:r>
      <w:r w:rsidRPr="005262E0">
        <w:rPr>
          <w:rFonts w:asciiTheme="majorHAnsi" w:hAnsiTheme="majorHAnsi" w:cstheme="minorHAnsi"/>
          <w:b/>
          <w:bCs/>
          <w:sz w:val="28"/>
          <w:szCs w:val="28"/>
        </w:rPr>
        <w:t xml:space="preserve">Deployment </w:t>
      </w:r>
      <w:r>
        <w:rPr>
          <w:rFonts w:asciiTheme="majorHAnsi" w:hAnsiTheme="majorHAnsi" w:cstheme="minorHAnsi"/>
          <w:b/>
          <w:bCs/>
          <w:sz w:val="28"/>
          <w:szCs w:val="28"/>
        </w:rPr>
        <w:t>of Funding</w:t>
      </w:r>
    </w:p>
    <w:p w:rsidR="005262E0" w:rsidRPr="005262E0" w:rsidRDefault="005262E0" w:rsidP="005262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</w:p>
    <w:p w:rsidR="00617620" w:rsidRPr="00617620" w:rsidRDefault="00617620" w:rsidP="00617620">
      <w:pPr>
        <w:pStyle w:val="ListParagraph"/>
        <w:numPr>
          <w:ilvl w:val="0"/>
          <w:numId w:val="12"/>
        </w:numPr>
        <w:rPr>
          <w:rFonts w:asciiTheme="majorHAnsi" w:hAnsiTheme="majorHAnsi" w:cstheme="minorHAnsi"/>
          <w:sz w:val="28"/>
          <w:szCs w:val="28"/>
        </w:rPr>
      </w:pPr>
      <w:r w:rsidRPr="00617620">
        <w:rPr>
          <w:rFonts w:asciiTheme="majorHAnsi" w:hAnsiTheme="majorHAnsi" w:cstheme="minorHAnsi"/>
          <w:sz w:val="28"/>
          <w:szCs w:val="28"/>
        </w:rPr>
        <w:t>Question level analysis function (QLA) in the Analyse School Performan</w:t>
      </w:r>
      <w:r>
        <w:rPr>
          <w:rFonts w:asciiTheme="majorHAnsi" w:hAnsiTheme="majorHAnsi" w:cstheme="minorHAnsi"/>
          <w:sz w:val="28"/>
          <w:szCs w:val="28"/>
        </w:rPr>
        <w:t xml:space="preserve">ce (ASP) service, </w:t>
      </w:r>
      <w:r w:rsidRPr="00617620">
        <w:rPr>
          <w:rFonts w:asciiTheme="majorHAnsi" w:hAnsiTheme="majorHAnsi" w:cstheme="minorHAnsi"/>
          <w:sz w:val="28"/>
          <w:szCs w:val="28"/>
        </w:rPr>
        <w:t>is used to identify specific areas to focus on with New Year 7s who haven’t reached the expected standard in key stage 2 tests.</w:t>
      </w:r>
    </w:p>
    <w:p w:rsidR="004F44C7" w:rsidRPr="004F44C7" w:rsidRDefault="00617620" w:rsidP="004F44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W</w:t>
      </w:r>
      <w:r w:rsidR="004F44C7">
        <w:rPr>
          <w:rFonts w:asciiTheme="majorHAnsi" w:hAnsiTheme="majorHAnsi" w:cstheme="minorHAnsi"/>
          <w:sz w:val="28"/>
          <w:szCs w:val="28"/>
        </w:rPr>
        <w:t xml:space="preserve">eakest </w:t>
      </w:r>
      <w:r>
        <w:rPr>
          <w:rFonts w:asciiTheme="majorHAnsi" w:hAnsiTheme="majorHAnsi" w:cstheme="minorHAnsi"/>
          <w:sz w:val="28"/>
          <w:szCs w:val="28"/>
        </w:rPr>
        <w:t xml:space="preserve">catch-up </w:t>
      </w:r>
      <w:r w:rsidR="004F44C7">
        <w:rPr>
          <w:rFonts w:asciiTheme="majorHAnsi" w:hAnsiTheme="majorHAnsi" w:cstheme="minorHAnsi"/>
          <w:sz w:val="28"/>
          <w:szCs w:val="28"/>
        </w:rPr>
        <w:t xml:space="preserve">pupils attend 1:1 </w:t>
      </w:r>
      <w:r w:rsidR="00F72C9C">
        <w:rPr>
          <w:rFonts w:asciiTheme="majorHAnsi" w:hAnsiTheme="majorHAnsi" w:cstheme="minorHAnsi"/>
          <w:sz w:val="28"/>
          <w:szCs w:val="28"/>
        </w:rPr>
        <w:t xml:space="preserve">numeracy </w:t>
      </w:r>
      <w:r>
        <w:rPr>
          <w:rFonts w:asciiTheme="majorHAnsi" w:hAnsiTheme="majorHAnsi" w:cstheme="minorHAnsi"/>
          <w:sz w:val="28"/>
          <w:szCs w:val="28"/>
        </w:rPr>
        <w:t>catch-up</w:t>
      </w:r>
      <w:r w:rsidR="004F44C7">
        <w:rPr>
          <w:rFonts w:asciiTheme="majorHAnsi" w:hAnsiTheme="majorHAnsi" w:cstheme="minorHAnsi"/>
          <w:sz w:val="28"/>
          <w:szCs w:val="28"/>
        </w:rPr>
        <w:t xml:space="preserve"> intervention twice per week for a 20-25 min session following the </w:t>
      </w:r>
      <w:r>
        <w:rPr>
          <w:rFonts w:asciiTheme="majorHAnsi" w:hAnsiTheme="majorHAnsi" w:cstheme="minorHAnsi"/>
          <w:sz w:val="28"/>
          <w:szCs w:val="28"/>
        </w:rPr>
        <w:t>Catch-up</w:t>
      </w:r>
      <w:r w:rsidR="004F44C7">
        <w:rPr>
          <w:rFonts w:asciiTheme="majorHAnsi" w:hAnsiTheme="majorHAnsi" w:cstheme="minorHAnsi"/>
          <w:sz w:val="28"/>
          <w:szCs w:val="28"/>
        </w:rPr>
        <w:t>© Programme of intervention.</w:t>
      </w:r>
    </w:p>
    <w:p w:rsidR="004F44C7" w:rsidRDefault="005262E0" w:rsidP="00526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 w:rsidRPr="005262E0">
        <w:rPr>
          <w:rFonts w:asciiTheme="majorHAnsi" w:hAnsiTheme="majorHAnsi" w:cstheme="minorHAnsi"/>
          <w:sz w:val="28"/>
          <w:szCs w:val="28"/>
        </w:rPr>
        <w:t xml:space="preserve">Catch-up intervention </w:t>
      </w:r>
      <w:r>
        <w:rPr>
          <w:rFonts w:asciiTheme="majorHAnsi" w:hAnsiTheme="majorHAnsi" w:cstheme="minorHAnsi"/>
          <w:sz w:val="28"/>
          <w:szCs w:val="28"/>
        </w:rPr>
        <w:t xml:space="preserve">during pupil development time </w:t>
      </w:r>
      <w:r w:rsidR="004F44C7">
        <w:rPr>
          <w:rFonts w:asciiTheme="majorHAnsi" w:hAnsiTheme="majorHAnsi" w:cstheme="minorHAnsi"/>
          <w:sz w:val="28"/>
          <w:szCs w:val="28"/>
        </w:rPr>
        <w:t>for the weakest 15 pupils delivered by a qualified maths teacher and supported by a learning support assistant. Year 7 pupils attend this intervention three times per week.</w:t>
      </w:r>
    </w:p>
    <w:p w:rsidR="00AB2A6C" w:rsidRDefault="00AB2A6C" w:rsidP="005262E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Bespoke numeracy lesson each week for all other </w:t>
      </w:r>
      <w:r w:rsidR="00617620">
        <w:rPr>
          <w:rFonts w:asciiTheme="majorHAnsi" w:hAnsiTheme="majorHAnsi" w:cstheme="minorHAnsi"/>
          <w:sz w:val="28"/>
          <w:szCs w:val="28"/>
        </w:rPr>
        <w:t>catch-up</w:t>
      </w:r>
      <w:r>
        <w:rPr>
          <w:rFonts w:asciiTheme="majorHAnsi" w:hAnsiTheme="majorHAnsi" w:cstheme="minorHAnsi"/>
          <w:sz w:val="28"/>
          <w:szCs w:val="28"/>
        </w:rPr>
        <w:t xml:space="preserve"> pupils.</w:t>
      </w:r>
    </w:p>
    <w:p w:rsidR="005262E0" w:rsidRDefault="004F44C7" w:rsidP="00AB2A6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Resources to support the </w:t>
      </w:r>
      <w:r w:rsidR="00617620">
        <w:rPr>
          <w:rFonts w:asciiTheme="majorHAnsi" w:hAnsiTheme="majorHAnsi" w:cstheme="minorHAnsi"/>
          <w:sz w:val="28"/>
          <w:szCs w:val="28"/>
        </w:rPr>
        <w:t>Catch-up</w:t>
      </w:r>
      <w:r>
        <w:rPr>
          <w:rFonts w:asciiTheme="majorHAnsi" w:hAnsiTheme="majorHAnsi" w:cstheme="minorHAnsi"/>
          <w:sz w:val="28"/>
          <w:szCs w:val="28"/>
        </w:rPr>
        <w:t>©</w:t>
      </w:r>
      <w:r w:rsidR="0066581E">
        <w:rPr>
          <w:rFonts w:asciiTheme="majorHAnsi" w:hAnsiTheme="majorHAnsi" w:cstheme="minorHAnsi"/>
          <w:sz w:val="28"/>
          <w:szCs w:val="28"/>
        </w:rPr>
        <w:t xml:space="preserve"> programme and numeracy lessons.</w:t>
      </w:r>
    </w:p>
    <w:p w:rsidR="005262E0" w:rsidRDefault="004F44C7" w:rsidP="004F44C7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Use of show my homework to set regular catch up homework.</w:t>
      </w:r>
    </w:p>
    <w:p w:rsidR="00617620" w:rsidRPr="00617620" w:rsidRDefault="00617620" w:rsidP="00617620">
      <w:pPr>
        <w:pStyle w:val="ListParagraph"/>
        <w:numPr>
          <w:ilvl w:val="0"/>
          <w:numId w:val="12"/>
        </w:numPr>
        <w:rPr>
          <w:rFonts w:asciiTheme="majorHAnsi" w:hAnsiTheme="majorHAnsi" w:cstheme="minorHAnsi"/>
          <w:sz w:val="28"/>
          <w:szCs w:val="28"/>
        </w:rPr>
      </w:pPr>
      <w:r w:rsidRPr="00617620">
        <w:rPr>
          <w:rFonts w:asciiTheme="majorHAnsi" w:hAnsiTheme="majorHAnsi" w:cstheme="minorHAnsi"/>
          <w:sz w:val="28"/>
          <w:szCs w:val="28"/>
        </w:rPr>
        <w:t>Catch-up© training for staff. One member of staff is a qualified maths teacher and the other member of staff is a HLTA.</w:t>
      </w:r>
    </w:p>
    <w:p w:rsidR="005262E0" w:rsidRPr="004F44C7" w:rsidRDefault="005262E0" w:rsidP="004F44C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8"/>
          <w:szCs w:val="28"/>
        </w:rPr>
      </w:pPr>
    </w:p>
    <w:p w:rsidR="005262E0" w:rsidRPr="005262E0" w:rsidRDefault="005262E0" w:rsidP="005262E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8"/>
          <w:szCs w:val="28"/>
        </w:rPr>
      </w:pPr>
      <w:r w:rsidRPr="005262E0">
        <w:rPr>
          <w:rFonts w:asciiTheme="majorHAnsi" w:hAnsiTheme="majorHAnsi" w:cstheme="minorHAnsi"/>
          <w:b/>
          <w:bCs/>
          <w:sz w:val="28"/>
          <w:szCs w:val="28"/>
        </w:rPr>
        <w:t xml:space="preserve">Impact of </w:t>
      </w:r>
      <w:r w:rsidR="00766FF8">
        <w:rPr>
          <w:rFonts w:asciiTheme="majorHAnsi" w:hAnsiTheme="majorHAnsi" w:cstheme="minorHAnsi"/>
          <w:b/>
          <w:bCs/>
          <w:sz w:val="28"/>
          <w:szCs w:val="28"/>
        </w:rPr>
        <w:t>Year 7</w:t>
      </w:r>
      <w:r w:rsidR="0066581E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="00617620">
        <w:rPr>
          <w:rFonts w:asciiTheme="majorHAnsi" w:hAnsiTheme="majorHAnsi" w:cstheme="minorHAnsi"/>
          <w:b/>
          <w:bCs/>
          <w:sz w:val="28"/>
          <w:szCs w:val="28"/>
        </w:rPr>
        <w:t>Catch-</w:t>
      </w:r>
      <w:r w:rsidR="00324C12">
        <w:rPr>
          <w:rFonts w:asciiTheme="majorHAnsi" w:hAnsiTheme="majorHAnsi" w:cstheme="minorHAnsi"/>
          <w:b/>
          <w:bCs/>
          <w:sz w:val="28"/>
          <w:szCs w:val="28"/>
        </w:rPr>
        <w:t xml:space="preserve">Up </w:t>
      </w:r>
      <w:r w:rsidR="00314E79">
        <w:rPr>
          <w:rFonts w:asciiTheme="majorHAnsi" w:hAnsiTheme="majorHAnsi" w:cstheme="minorHAnsi"/>
          <w:b/>
          <w:bCs/>
          <w:sz w:val="28"/>
          <w:szCs w:val="28"/>
        </w:rPr>
        <w:t>Funding 2017-2018</w:t>
      </w:r>
    </w:p>
    <w:p w:rsidR="00617620" w:rsidRDefault="00617620" w:rsidP="00617620">
      <w:pPr>
        <w:jc w:val="both"/>
        <w:rPr>
          <w:rFonts w:asciiTheme="majorHAnsi" w:hAnsiTheme="majorHAnsi" w:cstheme="minorHAnsi"/>
          <w:sz w:val="28"/>
          <w:szCs w:val="28"/>
        </w:rPr>
      </w:pPr>
      <w:r w:rsidRPr="00617620">
        <w:rPr>
          <w:rFonts w:asciiTheme="majorHAnsi" w:hAnsiTheme="majorHAnsi" w:cstheme="minorHAnsi"/>
          <w:sz w:val="28"/>
          <w:szCs w:val="28"/>
        </w:rPr>
        <w:t xml:space="preserve">The impact of the Year 7 </w:t>
      </w:r>
      <w:r>
        <w:rPr>
          <w:rFonts w:asciiTheme="majorHAnsi" w:hAnsiTheme="majorHAnsi" w:cstheme="minorHAnsi"/>
          <w:sz w:val="28"/>
          <w:szCs w:val="28"/>
        </w:rPr>
        <w:t xml:space="preserve">catch-up funding is </w:t>
      </w:r>
      <w:r w:rsidRPr="00617620">
        <w:rPr>
          <w:rFonts w:asciiTheme="majorHAnsi" w:hAnsiTheme="majorHAnsi" w:cstheme="minorHAnsi"/>
          <w:sz w:val="28"/>
          <w:szCs w:val="28"/>
        </w:rPr>
        <w:t>e</w:t>
      </w:r>
      <w:r w:rsidR="00AF688D">
        <w:rPr>
          <w:rFonts w:asciiTheme="majorHAnsi" w:hAnsiTheme="majorHAnsi" w:cstheme="minorHAnsi"/>
          <w:sz w:val="28"/>
          <w:szCs w:val="28"/>
        </w:rPr>
        <w:t xml:space="preserve">valuated using outcomes </w:t>
      </w:r>
      <w:r w:rsidR="00766FF8">
        <w:rPr>
          <w:rFonts w:asciiTheme="majorHAnsi" w:hAnsiTheme="majorHAnsi" w:cstheme="minorHAnsi"/>
          <w:sz w:val="28"/>
          <w:szCs w:val="28"/>
        </w:rPr>
        <w:t xml:space="preserve">from New Group Reading Test (NGRT), </w:t>
      </w:r>
      <w:r w:rsidRPr="00617620">
        <w:rPr>
          <w:rFonts w:asciiTheme="majorHAnsi" w:hAnsiTheme="majorHAnsi" w:cstheme="minorHAnsi"/>
          <w:sz w:val="28"/>
          <w:szCs w:val="28"/>
        </w:rPr>
        <w:t xml:space="preserve">teacher assessment, termly summative assessments, </w:t>
      </w:r>
      <w:r w:rsidRPr="00617620">
        <w:rPr>
          <w:rFonts w:asciiTheme="majorHAnsi" w:hAnsiTheme="majorHAnsi" w:cstheme="minorHAnsi"/>
          <w:sz w:val="28"/>
          <w:szCs w:val="28"/>
        </w:rPr>
        <w:t>and pupil</w:t>
      </w:r>
      <w:r w:rsidRPr="00617620">
        <w:rPr>
          <w:rFonts w:asciiTheme="majorHAnsi" w:hAnsiTheme="majorHAnsi" w:cstheme="minorHAnsi"/>
          <w:sz w:val="28"/>
          <w:szCs w:val="28"/>
        </w:rPr>
        <w:t xml:space="preserve"> voice and work scrutiny.</w:t>
      </w:r>
    </w:p>
    <w:p w:rsidR="00381CAE" w:rsidRPr="008E1943" w:rsidRDefault="008E1943">
      <w:pPr>
        <w:rPr>
          <w:rFonts w:asciiTheme="majorHAnsi" w:hAnsiTheme="majorHAnsi"/>
          <w:b/>
          <w:sz w:val="28"/>
          <w:szCs w:val="28"/>
        </w:rPr>
      </w:pPr>
      <w:r w:rsidRPr="008E1943">
        <w:rPr>
          <w:rFonts w:asciiTheme="majorHAnsi" w:hAnsiTheme="majorHAnsi"/>
          <w:b/>
          <w:sz w:val="28"/>
          <w:szCs w:val="28"/>
        </w:rPr>
        <w:t xml:space="preserve">Literacy </w:t>
      </w:r>
      <w:r w:rsidR="00617620" w:rsidRPr="008E1943">
        <w:rPr>
          <w:rFonts w:asciiTheme="majorHAnsi" w:hAnsiTheme="majorHAnsi"/>
          <w:b/>
          <w:sz w:val="28"/>
          <w:szCs w:val="28"/>
        </w:rPr>
        <w:t>Catch-up</w:t>
      </w:r>
    </w:p>
    <w:p w:rsidR="008E1943" w:rsidRDefault="00617620" w:rsidP="008E1943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Overall, </w:t>
      </w:r>
      <w:r w:rsidR="008E1943">
        <w:rPr>
          <w:rFonts w:asciiTheme="majorHAnsi" w:hAnsiTheme="majorHAnsi"/>
          <w:sz w:val="28"/>
          <w:szCs w:val="28"/>
        </w:rPr>
        <w:t>reading scores are significantly above national (NGRT Standardised Reading Test)</w:t>
      </w:r>
      <w:r>
        <w:rPr>
          <w:rFonts w:asciiTheme="majorHAnsi" w:hAnsiTheme="majorHAnsi"/>
          <w:sz w:val="28"/>
          <w:szCs w:val="28"/>
        </w:rPr>
        <w:t xml:space="preserve"> for all pupils</w:t>
      </w:r>
    </w:p>
    <w:p w:rsidR="008E1943" w:rsidRDefault="008E1943" w:rsidP="008E1943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Reading scores </w:t>
      </w:r>
      <w:r w:rsidR="00617620">
        <w:rPr>
          <w:rFonts w:asciiTheme="majorHAnsi" w:hAnsiTheme="majorHAnsi"/>
          <w:sz w:val="28"/>
          <w:szCs w:val="28"/>
        </w:rPr>
        <w:t xml:space="preserve">(NGRT) </w:t>
      </w:r>
      <w:r>
        <w:rPr>
          <w:rFonts w:asciiTheme="majorHAnsi" w:hAnsiTheme="majorHAnsi"/>
          <w:sz w:val="28"/>
          <w:szCs w:val="28"/>
        </w:rPr>
        <w:t>for disadvantaged cohort are significantly above national</w:t>
      </w:r>
    </w:p>
    <w:p w:rsidR="008E1943" w:rsidRPr="008E1943" w:rsidRDefault="00617620" w:rsidP="008E1943">
      <w:pPr>
        <w:pStyle w:val="ListParagraph"/>
        <w:numPr>
          <w:ilvl w:val="0"/>
          <w:numId w:val="19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Catch-up</w:t>
      </w:r>
      <w:r w:rsidR="008E1943">
        <w:rPr>
          <w:rFonts w:asciiTheme="majorHAnsi" w:hAnsiTheme="majorHAnsi"/>
          <w:sz w:val="28"/>
          <w:szCs w:val="28"/>
        </w:rPr>
        <w:t xml:space="preserve"> cohort</w:t>
      </w:r>
      <w:r>
        <w:rPr>
          <w:rFonts w:asciiTheme="majorHAnsi" w:hAnsiTheme="majorHAnsi"/>
          <w:sz w:val="28"/>
          <w:szCs w:val="28"/>
        </w:rPr>
        <w:t>:</w:t>
      </w:r>
      <w:r w:rsidR="008E1943">
        <w:rPr>
          <w:rFonts w:asciiTheme="majorHAnsi" w:hAnsiTheme="majorHAnsi"/>
          <w:sz w:val="28"/>
          <w:szCs w:val="28"/>
        </w:rPr>
        <w:t xml:space="preserve"> 68% pupils have improved reading scores</w:t>
      </w:r>
      <w:r>
        <w:rPr>
          <w:rFonts w:asciiTheme="majorHAnsi" w:hAnsiTheme="majorHAnsi"/>
          <w:sz w:val="28"/>
          <w:szCs w:val="28"/>
        </w:rPr>
        <w:t>.</w:t>
      </w:r>
    </w:p>
    <w:p w:rsidR="000F17FD" w:rsidRDefault="000F17FD">
      <w:pPr>
        <w:rPr>
          <w:rFonts w:asciiTheme="majorHAnsi" w:hAnsiTheme="majorHAnsi"/>
          <w:b/>
          <w:sz w:val="28"/>
          <w:szCs w:val="28"/>
        </w:rPr>
      </w:pPr>
    </w:p>
    <w:p w:rsidR="008E1943" w:rsidRPr="008E1943" w:rsidRDefault="008E1943">
      <w:pPr>
        <w:rPr>
          <w:rFonts w:asciiTheme="majorHAnsi" w:hAnsiTheme="majorHAnsi"/>
          <w:b/>
          <w:sz w:val="28"/>
          <w:szCs w:val="28"/>
        </w:rPr>
      </w:pPr>
      <w:r w:rsidRPr="008E1943">
        <w:rPr>
          <w:rFonts w:asciiTheme="majorHAnsi" w:hAnsiTheme="majorHAnsi"/>
          <w:b/>
          <w:sz w:val="28"/>
          <w:szCs w:val="28"/>
        </w:rPr>
        <w:t xml:space="preserve">Numeracy </w:t>
      </w:r>
      <w:r w:rsidR="00617620" w:rsidRPr="008E1943">
        <w:rPr>
          <w:rFonts w:asciiTheme="majorHAnsi" w:hAnsiTheme="majorHAnsi"/>
          <w:b/>
          <w:sz w:val="28"/>
          <w:szCs w:val="28"/>
        </w:rPr>
        <w:t>Catch-up</w:t>
      </w:r>
    </w:p>
    <w:p w:rsidR="00B67230" w:rsidRPr="008A116A" w:rsidRDefault="008E1943">
      <w:pPr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TBC</w:t>
      </w:r>
    </w:p>
    <w:sectPr w:rsidR="00B67230" w:rsidRPr="008A1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943" w:rsidRDefault="008E1943" w:rsidP="008A116A">
      <w:pPr>
        <w:spacing w:after="0" w:line="240" w:lineRule="auto"/>
      </w:pPr>
      <w:r>
        <w:separator/>
      </w:r>
    </w:p>
  </w:endnote>
  <w:endnote w:type="continuationSeparator" w:id="0">
    <w:p w:rsidR="008E1943" w:rsidRDefault="008E1943" w:rsidP="008A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943" w:rsidRDefault="008E1943" w:rsidP="008A116A">
      <w:pPr>
        <w:spacing w:after="0" w:line="240" w:lineRule="auto"/>
      </w:pPr>
      <w:r>
        <w:separator/>
      </w:r>
    </w:p>
  </w:footnote>
  <w:footnote w:type="continuationSeparator" w:id="0">
    <w:p w:rsidR="008E1943" w:rsidRDefault="008E1943" w:rsidP="008A1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4966"/>
    <w:multiLevelType w:val="hybridMultilevel"/>
    <w:tmpl w:val="0A048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D257D"/>
    <w:multiLevelType w:val="hybridMultilevel"/>
    <w:tmpl w:val="89006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45A09"/>
    <w:multiLevelType w:val="hybridMultilevel"/>
    <w:tmpl w:val="8C22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024D"/>
    <w:multiLevelType w:val="hybridMultilevel"/>
    <w:tmpl w:val="5A5C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62A66"/>
    <w:multiLevelType w:val="hybridMultilevel"/>
    <w:tmpl w:val="A7341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3D4166"/>
    <w:multiLevelType w:val="hybridMultilevel"/>
    <w:tmpl w:val="9B80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77D83"/>
    <w:multiLevelType w:val="hybridMultilevel"/>
    <w:tmpl w:val="378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305A8"/>
    <w:multiLevelType w:val="hybridMultilevel"/>
    <w:tmpl w:val="5DDC4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8F4753"/>
    <w:multiLevelType w:val="hybridMultilevel"/>
    <w:tmpl w:val="DE2000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E03E9"/>
    <w:multiLevelType w:val="hybridMultilevel"/>
    <w:tmpl w:val="7FA0B5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F70893"/>
    <w:multiLevelType w:val="hybridMultilevel"/>
    <w:tmpl w:val="3EAE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F7559"/>
    <w:multiLevelType w:val="hybridMultilevel"/>
    <w:tmpl w:val="54944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76A0"/>
    <w:multiLevelType w:val="hybridMultilevel"/>
    <w:tmpl w:val="3172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5F9F"/>
    <w:multiLevelType w:val="hybridMultilevel"/>
    <w:tmpl w:val="43523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3C36"/>
    <w:multiLevelType w:val="hybridMultilevel"/>
    <w:tmpl w:val="28A0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E020E"/>
    <w:multiLevelType w:val="hybridMultilevel"/>
    <w:tmpl w:val="2204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4229"/>
    <w:multiLevelType w:val="hybridMultilevel"/>
    <w:tmpl w:val="E48C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C6E0B"/>
    <w:multiLevelType w:val="hybridMultilevel"/>
    <w:tmpl w:val="EB1075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85C16"/>
    <w:multiLevelType w:val="hybridMultilevel"/>
    <w:tmpl w:val="235CF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7"/>
  </w:num>
  <w:num w:numId="5">
    <w:abstractNumId w:val="17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12"/>
  </w:num>
  <w:num w:numId="11">
    <w:abstractNumId w:val="18"/>
  </w:num>
  <w:num w:numId="12">
    <w:abstractNumId w:val="3"/>
  </w:num>
  <w:num w:numId="13">
    <w:abstractNumId w:val="6"/>
  </w:num>
  <w:num w:numId="14">
    <w:abstractNumId w:val="5"/>
  </w:num>
  <w:num w:numId="15">
    <w:abstractNumId w:val="16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8E"/>
    <w:rsid w:val="00055E24"/>
    <w:rsid w:val="000A3E49"/>
    <w:rsid w:val="000B563D"/>
    <w:rsid w:val="000F17FD"/>
    <w:rsid w:val="000F2340"/>
    <w:rsid w:val="001041B8"/>
    <w:rsid w:val="00127707"/>
    <w:rsid w:val="00134CED"/>
    <w:rsid w:val="00172463"/>
    <w:rsid w:val="001836AF"/>
    <w:rsid w:val="001B7423"/>
    <w:rsid w:val="00217B61"/>
    <w:rsid w:val="0022466E"/>
    <w:rsid w:val="002640E2"/>
    <w:rsid w:val="00292FC1"/>
    <w:rsid w:val="00314E79"/>
    <w:rsid w:val="00324C12"/>
    <w:rsid w:val="00345281"/>
    <w:rsid w:val="00345908"/>
    <w:rsid w:val="00381CAE"/>
    <w:rsid w:val="003847E1"/>
    <w:rsid w:val="00384B9E"/>
    <w:rsid w:val="0038542E"/>
    <w:rsid w:val="00391C12"/>
    <w:rsid w:val="00396EC6"/>
    <w:rsid w:val="003D4013"/>
    <w:rsid w:val="00402774"/>
    <w:rsid w:val="004B1FC1"/>
    <w:rsid w:val="004C6442"/>
    <w:rsid w:val="004F44C7"/>
    <w:rsid w:val="00511593"/>
    <w:rsid w:val="00516589"/>
    <w:rsid w:val="005262E0"/>
    <w:rsid w:val="00564A91"/>
    <w:rsid w:val="005A2288"/>
    <w:rsid w:val="005E2CEE"/>
    <w:rsid w:val="005E4B0A"/>
    <w:rsid w:val="00600F2E"/>
    <w:rsid w:val="00617620"/>
    <w:rsid w:val="00624B67"/>
    <w:rsid w:val="006360F0"/>
    <w:rsid w:val="00642B83"/>
    <w:rsid w:val="006442D6"/>
    <w:rsid w:val="0066581E"/>
    <w:rsid w:val="00682781"/>
    <w:rsid w:val="006B1E13"/>
    <w:rsid w:val="006B6804"/>
    <w:rsid w:val="00753771"/>
    <w:rsid w:val="00766FF8"/>
    <w:rsid w:val="007F273D"/>
    <w:rsid w:val="00807E77"/>
    <w:rsid w:val="00850525"/>
    <w:rsid w:val="008A116A"/>
    <w:rsid w:val="008C66C2"/>
    <w:rsid w:val="008E1943"/>
    <w:rsid w:val="00902752"/>
    <w:rsid w:val="00906A5D"/>
    <w:rsid w:val="0093537B"/>
    <w:rsid w:val="00937AF3"/>
    <w:rsid w:val="009445B8"/>
    <w:rsid w:val="00947353"/>
    <w:rsid w:val="00A03B1D"/>
    <w:rsid w:val="00A70BD7"/>
    <w:rsid w:val="00A84007"/>
    <w:rsid w:val="00A95DBC"/>
    <w:rsid w:val="00AB2A6C"/>
    <w:rsid w:val="00AD53D0"/>
    <w:rsid w:val="00AF0DE5"/>
    <w:rsid w:val="00AF688D"/>
    <w:rsid w:val="00B01988"/>
    <w:rsid w:val="00B21C8A"/>
    <w:rsid w:val="00B333E1"/>
    <w:rsid w:val="00B340E8"/>
    <w:rsid w:val="00B67230"/>
    <w:rsid w:val="00BA1E19"/>
    <w:rsid w:val="00C16C75"/>
    <w:rsid w:val="00C50B94"/>
    <w:rsid w:val="00C7366B"/>
    <w:rsid w:val="00C8688E"/>
    <w:rsid w:val="00C96D50"/>
    <w:rsid w:val="00CD4814"/>
    <w:rsid w:val="00D27A82"/>
    <w:rsid w:val="00D343C6"/>
    <w:rsid w:val="00DE6D8E"/>
    <w:rsid w:val="00DF226A"/>
    <w:rsid w:val="00E078CB"/>
    <w:rsid w:val="00E96C28"/>
    <w:rsid w:val="00F4263F"/>
    <w:rsid w:val="00F710D0"/>
    <w:rsid w:val="00F72C9C"/>
    <w:rsid w:val="00F83E84"/>
    <w:rsid w:val="00FB2038"/>
    <w:rsid w:val="00FE3AC3"/>
    <w:rsid w:val="00FE4023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DDB4"/>
  <w15:docId w15:val="{DA5E3751-6FD9-4BD2-8E1A-57B519BF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DE6D8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391C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C96D5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16A"/>
  </w:style>
  <w:style w:type="paragraph" w:styleId="Footer">
    <w:name w:val="footer"/>
    <w:basedOn w:val="Normal"/>
    <w:link w:val="FooterChar"/>
    <w:uiPriority w:val="99"/>
    <w:unhideWhenUsed/>
    <w:rsid w:val="008A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6809D871</Template>
  <TotalTime>59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J. Dodd</dc:creator>
  <cp:lastModifiedBy>Tracey Garner</cp:lastModifiedBy>
  <cp:revision>9</cp:revision>
  <cp:lastPrinted>2016-10-31T11:41:00Z</cp:lastPrinted>
  <dcterms:created xsi:type="dcterms:W3CDTF">2019-02-05T17:18:00Z</dcterms:created>
  <dcterms:modified xsi:type="dcterms:W3CDTF">2019-02-08T10:23:00Z</dcterms:modified>
</cp:coreProperties>
</file>