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EF500" w14:textId="7AF7F56F" w:rsidR="00935F78" w:rsidRPr="00935F78" w:rsidRDefault="00A51F81" w:rsidP="00935F78">
      <w:pPr>
        <w:rPr>
          <w:rFonts w:asciiTheme="minorHAnsi" w:hAnsiTheme="minorHAnsi"/>
          <w:noProof/>
          <w:sz w:val="22"/>
          <w:szCs w:val="22"/>
        </w:rPr>
      </w:pPr>
      <w:r w:rsidRPr="00C203F4">
        <w:rPr>
          <w:b/>
          <w:noProof/>
          <w:sz w:val="32"/>
        </w:rPr>
        <w:drawing>
          <wp:anchor distT="0" distB="0" distL="114300" distR="114300" simplePos="0" relativeHeight="251663360" behindDoc="0" locked="0" layoutInCell="1" allowOverlap="1" wp14:anchorId="69C572B3" wp14:editId="7C3A702B">
            <wp:simplePos x="0" y="0"/>
            <wp:positionH relativeFrom="margin">
              <wp:posOffset>1054077</wp:posOffset>
            </wp:positionH>
            <wp:positionV relativeFrom="paragraph">
              <wp:posOffset>-153035</wp:posOffset>
            </wp:positionV>
            <wp:extent cx="784860" cy="71683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l="19942" t="19823" r="34689" b="6509"/>
                    <a:stretch>
                      <a:fillRect/>
                    </a:stretch>
                  </pic:blipFill>
                  <pic:spPr bwMode="auto">
                    <a:xfrm>
                      <a:off x="0" y="0"/>
                      <a:ext cx="784860" cy="716839"/>
                    </a:xfrm>
                    <a:prstGeom prst="rect">
                      <a:avLst/>
                    </a:prstGeom>
                    <a:noFill/>
                    <a:ln>
                      <a:noFill/>
                    </a:ln>
                  </pic:spPr>
                </pic:pic>
              </a:graphicData>
            </a:graphic>
            <wp14:sizeRelH relativeFrom="page">
              <wp14:pctWidth>0</wp14:pctWidth>
            </wp14:sizeRelH>
            <wp14:sizeRelV relativeFrom="page">
              <wp14:pctHeight>0</wp14:pctHeight>
            </wp14:sizeRelV>
          </wp:anchor>
        </w:drawing>
      </w:r>
      <w:r w:rsidR="00935F78" w:rsidRPr="00935F78">
        <w:rPr>
          <w:rFonts w:asciiTheme="minorHAnsi" w:hAnsiTheme="minorHAnsi"/>
          <w:noProof/>
          <w:sz w:val="22"/>
          <w:szCs w:val="22"/>
        </w:rPr>
        <w:drawing>
          <wp:inline distT="0" distB="0" distL="0" distR="0" wp14:anchorId="3D5EF584" wp14:editId="72DFF943">
            <wp:extent cx="914400" cy="493577"/>
            <wp:effectExtent l="0" t="0" r="0" b="1905"/>
            <wp:docPr id="5" name="Picture 4" descr="CD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DI Logo.jpg"/>
                    <pic:cNvPicPr>
                      <a:picLocks noChangeAspect="1"/>
                    </pic:cNvPicPr>
                  </pic:nvPicPr>
                  <pic:blipFill>
                    <a:blip r:embed="rId8" cstate="print"/>
                    <a:stretch>
                      <a:fillRect/>
                    </a:stretch>
                  </pic:blipFill>
                  <pic:spPr>
                    <a:xfrm>
                      <a:off x="0" y="0"/>
                      <a:ext cx="955252" cy="515628"/>
                    </a:xfrm>
                    <a:prstGeom prst="rect">
                      <a:avLst/>
                    </a:prstGeom>
                  </pic:spPr>
                </pic:pic>
              </a:graphicData>
            </a:graphic>
          </wp:inline>
        </w:drawing>
      </w:r>
      <w:r w:rsidR="00935F78" w:rsidRPr="00935F78">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3D5EF586" wp14:editId="3D5EF587">
                <wp:simplePos x="0" y="0"/>
                <wp:positionH relativeFrom="column">
                  <wp:posOffset>1838325</wp:posOffset>
                </wp:positionH>
                <wp:positionV relativeFrom="paragraph">
                  <wp:posOffset>-131445</wp:posOffset>
                </wp:positionV>
                <wp:extent cx="7839075" cy="636270"/>
                <wp:effectExtent l="0" t="635" r="254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075"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EF594" w14:textId="77777777" w:rsidR="00935F78" w:rsidRPr="0084765B" w:rsidRDefault="00935F78" w:rsidP="00935F78">
                            <w:pPr>
                              <w:jc w:val="right"/>
                              <w:rPr>
                                <w:rFonts w:ascii="Arial" w:hAnsi="Arial" w:cs="Arial"/>
                                <w:b/>
                                <w:sz w:val="36"/>
                                <w:szCs w:val="36"/>
                              </w:rPr>
                            </w:pPr>
                            <w:r w:rsidRPr="0084765B">
                              <w:rPr>
                                <w:rFonts w:ascii="Arial" w:hAnsi="Arial" w:cs="Arial"/>
                                <w:b/>
                                <w:sz w:val="36"/>
                                <w:szCs w:val="36"/>
                              </w:rPr>
                              <w:t>Ca</w:t>
                            </w:r>
                            <w:r>
                              <w:rPr>
                                <w:rFonts w:ascii="Arial" w:hAnsi="Arial" w:cs="Arial"/>
                                <w:b/>
                                <w:sz w:val="36"/>
                                <w:szCs w:val="36"/>
                              </w:rPr>
                              <w:t>reers, Employability and Enterprise</w:t>
                            </w:r>
                            <w:r w:rsidRPr="0084765B">
                              <w:rPr>
                                <w:rFonts w:ascii="Arial" w:hAnsi="Arial" w:cs="Arial"/>
                                <w:b/>
                                <w:sz w:val="36"/>
                                <w:szCs w:val="36"/>
                              </w:rPr>
                              <w:t xml:space="preserve"> Audit across the Curriculum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5EF586" id="_x0000_t202" coordsize="21600,21600" o:spt="202" path="m,l,21600r21600,l21600,xe">
                <v:stroke joinstyle="miter"/>
                <v:path gradientshapeok="t" o:connecttype="rect"/>
              </v:shapetype>
              <v:shape id="Text Box 3" o:spid="_x0000_s1026" type="#_x0000_t202" style="position:absolute;margin-left:144.75pt;margin-top:-10.35pt;width:617.25pt;height: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" filled="f" stroked="f">
                <v:textbox>
                  <w:txbxContent>
                    <w:p w14:paraId="3D5EF594" w14:textId="77777777" w:rsidR="00935F78" w:rsidRPr="0084765B" w:rsidRDefault="00935F78" w:rsidP="00935F78">
                      <w:pPr>
                        <w:jc w:val="right"/>
                        <w:rPr>
                          <w:rFonts w:ascii="Arial" w:hAnsi="Arial" w:cs="Arial"/>
                          <w:b/>
                          <w:sz w:val="36"/>
                          <w:szCs w:val="36"/>
                        </w:rPr>
                      </w:pPr>
                      <w:r w:rsidRPr="0084765B">
                        <w:rPr>
                          <w:rFonts w:ascii="Arial" w:hAnsi="Arial" w:cs="Arial"/>
                          <w:b/>
                          <w:sz w:val="36"/>
                          <w:szCs w:val="36"/>
                        </w:rPr>
                        <w:t>Ca</w:t>
                      </w:r>
                      <w:r>
                        <w:rPr>
                          <w:rFonts w:ascii="Arial" w:hAnsi="Arial" w:cs="Arial"/>
                          <w:b/>
                          <w:sz w:val="36"/>
                          <w:szCs w:val="36"/>
                        </w:rPr>
                        <w:t>reers, Employability and Enterprise</w:t>
                      </w:r>
                      <w:r w:rsidRPr="0084765B">
                        <w:rPr>
                          <w:rFonts w:ascii="Arial" w:hAnsi="Arial" w:cs="Arial"/>
                          <w:b/>
                          <w:sz w:val="36"/>
                          <w:szCs w:val="36"/>
                        </w:rPr>
                        <w:t xml:space="preserve"> Audit across the Curriculum</w:t>
                      </w:r>
                    </w:p>
                  </w:txbxContent>
                </v:textbox>
              </v:shape>
            </w:pict>
          </mc:Fallback>
        </mc:AlternateContent>
      </w:r>
    </w:p>
    <w:p w14:paraId="3D5EF501" w14:textId="77777777" w:rsidR="00935F78" w:rsidRPr="00935F78" w:rsidRDefault="00935F78" w:rsidP="00935F78">
      <w:pPr>
        <w:rPr>
          <w:rFonts w:asciiTheme="minorHAnsi" w:hAnsiTheme="minorHAnsi"/>
          <w:noProof/>
          <w:sz w:val="22"/>
          <w:szCs w:val="22"/>
        </w:rPr>
      </w:pPr>
    </w:p>
    <w:p w14:paraId="3D5EF502" w14:textId="2F9440D0" w:rsidR="00935F78" w:rsidRPr="00C64386" w:rsidRDefault="00C64386" w:rsidP="00935F78">
      <w:pPr>
        <w:rPr>
          <w:rFonts w:asciiTheme="minorHAnsi" w:hAnsiTheme="minorHAnsi"/>
          <w:b/>
          <w:noProof/>
          <w:sz w:val="22"/>
          <w:szCs w:val="22"/>
          <w:u w:val="single"/>
        </w:rPr>
      </w:pPr>
      <w:r w:rsidRPr="00C64386">
        <w:rPr>
          <w:rFonts w:asciiTheme="minorHAnsi" w:hAnsiTheme="minorHAnsi"/>
          <w:b/>
          <w:noProof/>
          <w:sz w:val="22"/>
          <w:szCs w:val="22"/>
        </w:rPr>
        <w:t>Curriculum area</w:t>
      </w:r>
      <w:r w:rsidR="00C82F9B">
        <w:rPr>
          <w:rFonts w:asciiTheme="minorHAnsi" w:hAnsiTheme="minorHAnsi"/>
          <w:b/>
          <w:noProof/>
          <w:sz w:val="22"/>
          <w:szCs w:val="22"/>
        </w:rPr>
        <w:t xml:space="preserve">: </w:t>
      </w:r>
      <w:r w:rsidR="00C82F9B" w:rsidRPr="00C82F9B">
        <w:rPr>
          <w:rFonts w:asciiTheme="minorHAnsi" w:hAnsiTheme="minorHAnsi"/>
          <w:b/>
          <w:noProof/>
          <w:sz w:val="22"/>
          <w:szCs w:val="22"/>
        </w:rPr>
        <w:t xml:space="preserve">Geography </w:t>
      </w:r>
      <w:r w:rsidR="00C82F9B" w:rsidRPr="00C82F9B">
        <w:rPr>
          <w:rFonts w:asciiTheme="minorHAnsi" w:hAnsiTheme="minorHAnsi"/>
          <w:b/>
          <w:noProof/>
          <w:sz w:val="22"/>
          <w:szCs w:val="22"/>
        </w:rPr>
        <w:tab/>
      </w:r>
      <w:r w:rsidR="00C82F9B" w:rsidRPr="00C82F9B">
        <w:rPr>
          <w:rFonts w:asciiTheme="minorHAnsi" w:hAnsiTheme="minorHAnsi"/>
          <w:b/>
          <w:noProof/>
          <w:sz w:val="22"/>
          <w:szCs w:val="22"/>
        </w:rPr>
        <w:tab/>
      </w:r>
      <w:r w:rsidR="00C82F9B" w:rsidRPr="00C82F9B">
        <w:rPr>
          <w:rFonts w:asciiTheme="minorHAnsi" w:hAnsiTheme="minorHAnsi"/>
          <w:b/>
          <w:noProof/>
          <w:sz w:val="22"/>
          <w:szCs w:val="22"/>
        </w:rPr>
        <w:tab/>
      </w:r>
      <w:r w:rsidR="00C82F9B" w:rsidRPr="00C82F9B">
        <w:rPr>
          <w:rFonts w:asciiTheme="minorHAnsi" w:hAnsiTheme="minorHAnsi"/>
          <w:b/>
          <w:noProof/>
          <w:sz w:val="22"/>
          <w:szCs w:val="22"/>
        </w:rPr>
        <w:tab/>
      </w:r>
      <w:r w:rsidR="00872352">
        <w:rPr>
          <w:rFonts w:asciiTheme="minorHAnsi" w:hAnsiTheme="minorHAnsi"/>
          <w:b/>
          <w:noProof/>
          <w:sz w:val="22"/>
          <w:szCs w:val="22"/>
        </w:rPr>
        <w:t>Curriculum Leader</w:t>
      </w:r>
      <w:r w:rsidR="00C82F9B">
        <w:rPr>
          <w:rFonts w:asciiTheme="minorHAnsi" w:hAnsiTheme="minorHAnsi"/>
          <w:b/>
          <w:noProof/>
          <w:sz w:val="22"/>
          <w:szCs w:val="22"/>
        </w:rPr>
        <w:t>:</w:t>
      </w:r>
      <w:r w:rsidR="00872352">
        <w:rPr>
          <w:rFonts w:asciiTheme="minorHAnsi" w:hAnsiTheme="minorHAnsi"/>
          <w:b/>
          <w:noProof/>
          <w:sz w:val="22"/>
          <w:szCs w:val="22"/>
        </w:rPr>
        <w:t xml:space="preserve"> </w:t>
      </w:r>
      <w:r w:rsidR="00C82F9B">
        <w:rPr>
          <w:rFonts w:asciiTheme="minorHAnsi" w:hAnsiTheme="minorHAnsi"/>
          <w:b/>
          <w:noProof/>
          <w:sz w:val="22"/>
          <w:szCs w:val="22"/>
        </w:rPr>
        <w:t xml:space="preserve"> Katy Grey</w:t>
      </w:r>
      <w:r w:rsidR="00C82F9B">
        <w:rPr>
          <w:rFonts w:asciiTheme="minorHAnsi" w:hAnsiTheme="minorHAnsi"/>
          <w:b/>
          <w:noProof/>
          <w:sz w:val="22"/>
          <w:szCs w:val="22"/>
        </w:rPr>
        <w:tab/>
      </w:r>
      <w:r w:rsidR="00C82F9B">
        <w:rPr>
          <w:rFonts w:asciiTheme="minorHAnsi" w:hAnsiTheme="minorHAnsi"/>
          <w:b/>
          <w:noProof/>
          <w:sz w:val="22"/>
          <w:szCs w:val="22"/>
        </w:rPr>
        <w:tab/>
      </w:r>
      <w:r w:rsidR="00C82F9B">
        <w:rPr>
          <w:rFonts w:asciiTheme="minorHAnsi" w:hAnsiTheme="minorHAnsi"/>
          <w:b/>
          <w:noProof/>
          <w:sz w:val="22"/>
          <w:szCs w:val="22"/>
        </w:rPr>
        <w:tab/>
      </w:r>
      <w:r w:rsidR="00C82F9B">
        <w:rPr>
          <w:rFonts w:asciiTheme="minorHAnsi" w:hAnsiTheme="minorHAnsi"/>
          <w:b/>
          <w:noProof/>
          <w:sz w:val="22"/>
          <w:szCs w:val="22"/>
        </w:rPr>
        <w:tab/>
      </w:r>
      <w:r w:rsidRPr="00C64386">
        <w:rPr>
          <w:rFonts w:asciiTheme="minorHAnsi" w:hAnsiTheme="minorHAnsi"/>
          <w:b/>
          <w:noProof/>
          <w:sz w:val="22"/>
          <w:szCs w:val="22"/>
        </w:rPr>
        <w:t>Date</w:t>
      </w:r>
      <w:r w:rsidR="00C82F9B" w:rsidRPr="00C82F9B">
        <w:rPr>
          <w:rFonts w:asciiTheme="minorHAnsi" w:hAnsiTheme="minorHAnsi"/>
          <w:b/>
          <w:noProof/>
          <w:sz w:val="22"/>
          <w:szCs w:val="22"/>
        </w:rPr>
        <w:t xml:space="preserve">: </w:t>
      </w:r>
      <w:r w:rsidR="001F6BD0">
        <w:rPr>
          <w:rFonts w:asciiTheme="minorHAnsi" w:hAnsiTheme="minorHAnsi"/>
          <w:b/>
          <w:noProof/>
          <w:sz w:val="22"/>
          <w:szCs w:val="22"/>
        </w:rPr>
        <w:t xml:space="preserve">April </w:t>
      </w:r>
      <w:r w:rsidR="00C82F9B" w:rsidRPr="00C82F9B">
        <w:rPr>
          <w:rFonts w:asciiTheme="minorHAnsi" w:hAnsiTheme="minorHAnsi"/>
          <w:b/>
          <w:noProof/>
          <w:sz w:val="22"/>
          <w:szCs w:val="22"/>
        </w:rPr>
        <w:t>2020</w:t>
      </w:r>
    </w:p>
    <w:p w14:paraId="3D5EF503" w14:textId="77777777" w:rsidR="00935F78" w:rsidRPr="00935F78" w:rsidRDefault="00935F78" w:rsidP="00935F78">
      <w:pPr>
        <w:rPr>
          <w:rFonts w:asciiTheme="minorHAnsi" w:hAnsiTheme="minorHAnsi"/>
          <w:sz w:val="22"/>
          <w:szCs w:val="22"/>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807"/>
        <w:gridCol w:w="4536"/>
        <w:gridCol w:w="2268"/>
        <w:gridCol w:w="1843"/>
        <w:gridCol w:w="1890"/>
      </w:tblGrid>
      <w:tr w:rsidR="00935F78" w:rsidRPr="00935F78" w14:paraId="3D5EF50D" w14:textId="77777777" w:rsidTr="009F3A5F">
        <w:trPr>
          <w:trHeight w:val="1107"/>
        </w:trPr>
        <w:tc>
          <w:tcPr>
            <w:tcW w:w="1008" w:type="dxa"/>
            <w:shd w:val="clear" w:color="auto" w:fill="auto"/>
          </w:tcPr>
          <w:p w14:paraId="3D5EF504" w14:textId="77777777" w:rsidR="00935F78" w:rsidRDefault="00935F78" w:rsidP="00B03D63">
            <w:pPr>
              <w:rPr>
                <w:rFonts w:asciiTheme="minorHAnsi" w:hAnsiTheme="minorHAnsi" w:cs="Arial"/>
                <w:b/>
                <w:sz w:val="22"/>
                <w:szCs w:val="22"/>
              </w:rPr>
            </w:pPr>
            <w:r w:rsidRPr="00935F78">
              <w:rPr>
                <w:rFonts w:asciiTheme="minorHAnsi" w:hAnsiTheme="minorHAnsi" w:cs="Arial"/>
                <w:b/>
                <w:sz w:val="22"/>
                <w:szCs w:val="22"/>
              </w:rPr>
              <w:t>Year group</w:t>
            </w:r>
          </w:p>
          <w:p w14:paraId="3D5EF505" w14:textId="77777777" w:rsidR="00C64386" w:rsidRPr="00935F78" w:rsidRDefault="00C64386" w:rsidP="00B03D63">
            <w:pPr>
              <w:rPr>
                <w:rFonts w:asciiTheme="minorHAnsi" w:hAnsiTheme="minorHAnsi" w:cs="Arial"/>
                <w:b/>
                <w:sz w:val="22"/>
                <w:szCs w:val="22"/>
              </w:rPr>
            </w:pPr>
          </w:p>
        </w:tc>
        <w:tc>
          <w:tcPr>
            <w:tcW w:w="3807" w:type="dxa"/>
            <w:shd w:val="clear" w:color="auto" w:fill="auto"/>
          </w:tcPr>
          <w:p w14:paraId="3D5EF506" w14:textId="77777777" w:rsidR="00935F78" w:rsidRPr="00C64386" w:rsidRDefault="00935F78" w:rsidP="00B03D63">
            <w:pPr>
              <w:rPr>
                <w:rFonts w:asciiTheme="minorHAnsi" w:hAnsiTheme="minorHAnsi" w:cs="Arial"/>
                <w:b/>
                <w:sz w:val="22"/>
                <w:szCs w:val="22"/>
              </w:rPr>
            </w:pPr>
            <w:r w:rsidRPr="00935F78">
              <w:rPr>
                <w:rFonts w:asciiTheme="minorHAnsi" w:hAnsiTheme="minorHAnsi" w:cs="Arial"/>
                <w:b/>
                <w:sz w:val="22"/>
                <w:szCs w:val="22"/>
              </w:rPr>
              <w:t>How does your subject contribute to the Careers, Employability and Enterprise curriculum?</w:t>
            </w:r>
          </w:p>
        </w:tc>
        <w:tc>
          <w:tcPr>
            <w:tcW w:w="4536" w:type="dxa"/>
            <w:shd w:val="clear" w:color="auto" w:fill="auto"/>
          </w:tcPr>
          <w:p w14:paraId="3D5EF507" w14:textId="77777777" w:rsidR="00935F78" w:rsidRPr="00935F78" w:rsidRDefault="009F3A5F" w:rsidP="00B03D63">
            <w:pPr>
              <w:rPr>
                <w:rFonts w:asciiTheme="minorHAnsi" w:hAnsiTheme="minorHAnsi" w:cs="Arial"/>
                <w:b/>
                <w:sz w:val="22"/>
                <w:szCs w:val="22"/>
              </w:rPr>
            </w:pPr>
            <w:r>
              <w:rPr>
                <w:rFonts w:asciiTheme="minorHAnsi" w:hAnsiTheme="minorHAnsi" w:cs="Arial"/>
                <w:b/>
                <w:sz w:val="22"/>
                <w:szCs w:val="22"/>
              </w:rPr>
              <w:t>What are the activities used</w:t>
            </w:r>
            <w:r w:rsidR="00935F78" w:rsidRPr="00935F78">
              <w:rPr>
                <w:rFonts w:asciiTheme="minorHAnsi" w:hAnsiTheme="minorHAnsi" w:cs="Arial"/>
                <w:b/>
                <w:sz w:val="22"/>
                <w:szCs w:val="22"/>
              </w:rPr>
              <w:t>?</w:t>
            </w:r>
          </w:p>
        </w:tc>
        <w:tc>
          <w:tcPr>
            <w:tcW w:w="2268" w:type="dxa"/>
            <w:shd w:val="clear" w:color="auto" w:fill="auto"/>
          </w:tcPr>
          <w:p w14:paraId="3D5EF508" w14:textId="77777777" w:rsidR="00935F78" w:rsidRPr="00935F78" w:rsidRDefault="00935F78" w:rsidP="00935F78">
            <w:pPr>
              <w:pStyle w:val="NoSpacing"/>
              <w:rPr>
                <w:rFonts w:asciiTheme="minorHAnsi" w:hAnsiTheme="minorHAnsi"/>
                <w:sz w:val="22"/>
                <w:szCs w:val="22"/>
              </w:rPr>
            </w:pPr>
            <w:r w:rsidRPr="00935F78">
              <w:rPr>
                <w:rFonts w:asciiTheme="minorHAnsi" w:hAnsiTheme="minorHAnsi"/>
                <w:sz w:val="22"/>
                <w:szCs w:val="22"/>
              </w:rPr>
              <w:t>Developing yourself through careers, employability and enterprise education</w:t>
            </w:r>
          </w:p>
          <w:p w14:paraId="3D5EF509" w14:textId="77777777" w:rsidR="00935F78" w:rsidRPr="00935F78" w:rsidRDefault="00935F78" w:rsidP="00B03D63">
            <w:pPr>
              <w:rPr>
                <w:rFonts w:asciiTheme="minorHAnsi" w:hAnsiTheme="minorHAnsi" w:cs="Arial"/>
                <w:b/>
                <w:sz w:val="22"/>
                <w:szCs w:val="22"/>
              </w:rPr>
            </w:pPr>
          </w:p>
        </w:tc>
        <w:tc>
          <w:tcPr>
            <w:tcW w:w="1843" w:type="dxa"/>
            <w:shd w:val="clear" w:color="auto" w:fill="auto"/>
          </w:tcPr>
          <w:p w14:paraId="3D5EF50A" w14:textId="77777777" w:rsidR="00935F78" w:rsidRPr="00935F78" w:rsidRDefault="00935F78" w:rsidP="00935F78">
            <w:pPr>
              <w:pStyle w:val="NoSpacing"/>
              <w:rPr>
                <w:rFonts w:asciiTheme="minorHAnsi" w:hAnsiTheme="minorHAnsi"/>
                <w:sz w:val="22"/>
                <w:szCs w:val="22"/>
              </w:rPr>
            </w:pPr>
            <w:r w:rsidRPr="00935F78">
              <w:rPr>
                <w:rFonts w:asciiTheme="minorHAnsi" w:hAnsiTheme="minorHAnsi"/>
                <w:sz w:val="22"/>
                <w:szCs w:val="22"/>
              </w:rPr>
              <w:t>Learning about careers and the world of work</w:t>
            </w:r>
          </w:p>
          <w:p w14:paraId="3D5EF50B" w14:textId="77777777" w:rsidR="00935F78" w:rsidRPr="00935F78" w:rsidRDefault="00935F78" w:rsidP="00B03D63">
            <w:pPr>
              <w:rPr>
                <w:rFonts w:asciiTheme="minorHAnsi" w:hAnsiTheme="minorHAnsi" w:cs="Arial"/>
                <w:b/>
                <w:sz w:val="22"/>
                <w:szCs w:val="22"/>
              </w:rPr>
            </w:pPr>
          </w:p>
        </w:tc>
        <w:tc>
          <w:tcPr>
            <w:tcW w:w="1890" w:type="dxa"/>
            <w:shd w:val="clear" w:color="auto" w:fill="auto"/>
          </w:tcPr>
          <w:p w14:paraId="3D5EF50C" w14:textId="77777777" w:rsidR="00935F78" w:rsidRPr="00C64386" w:rsidRDefault="00935F78" w:rsidP="00C64386">
            <w:pPr>
              <w:pStyle w:val="NoSpacing"/>
              <w:rPr>
                <w:rFonts w:asciiTheme="minorHAnsi" w:hAnsiTheme="minorHAnsi"/>
                <w:sz w:val="22"/>
                <w:szCs w:val="22"/>
              </w:rPr>
            </w:pPr>
            <w:r w:rsidRPr="00935F78">
              <w:rPr>
                <w:rFonts w:asciiTheme="minorHAnsi" w:hAnsiTheme="minorHAnsi"/>
                <w:sz w:val="22"/>
                <w:szCs w:val="22"/>
              </w:rPr>
              <w:t>Developing your career management, emp</w:t>
            </w:r>
            <w:r w:rsidR="00C64386">
              <w:rPr>
                <w:rFonts w:asciiTheme="minorHAnsi" w:hAnsiTheme="minorHAnsi"/>
                <w:sz w:val="22"/>
                <w:szCs w:val="22"/>
              </w:rPr>
              <w:t>loyability and enterprise skills</w:t>
            </w:r>
          </w:p>
        </w:tc>
      </w:tr>
      <w:tr w:rsidR="00935F78" w:rsidRPr="00935F78" w14:paraId="3D5EF517" w14:textId="77777777" w:rsidTr="009F3A5F">
        <w:tc>
          <w:tcPr>
            <w:tcW w:w="1008" w:type="dxa"/>
            <w:shd w:val="clear" w:color="auto" w:fill="auto"/>
          </w:tcPr>
          <w:p w14:paraId="3D5EF50E" w14:textId="77777777" w:rsidR="00935F78" w:rsidRPr="00935F78" w:rsidRDefault="00935F78" w:rsidP="00B03D63">
            <w:pPr>
              <w:rPr>
                <w:rFonts w:asciiTheme="minorHAnsi" w:hAnsiTheme="minorHAnsi" w:cs="Arial"/>
                <w:b/>
                <w:sz w:val="22"/>
                <w:szCs w:val="22"/>
              </w:rPr>
            </w:pPr>
            <w:r w:rsidRPr="00935F78">
              <w:rPr>
                <w:rFonts w:asciiTheme="minorHAnsi" w:hAnsiTheme="minorHAnsi" w:cs="Arial"/>
                <w:b/>
                <w:sz w:val="22"/>
                <w:szCs w:val="22"/>
              </w:rPr>
              <w:t>7</w:t>
            </w:r>
          </w:p>
          <w:p w14:paraId="3D5EF50F" w14:textId="77777777" w:rsidR="00935F78" w:rsidRPr="00935F78" w:rsidRDefault="00935F78" w:rsidP="00B03D63">
            <w:pPr>
              <w:rPr>
                <w:rFonts w:asciiTheme="minorHAnsi" w:hAnsiTheme="minorHAnsi" w:cs="Arial"/>
                <w:b/>
                <w:sz w:val="22"/>
                <w:szCs w:val="22"/>
              </w:rPr>
            </w:pPr>
          </w:p>
          <w:p w14:paraId="3D5EF510" w14:textId="77777777" w:rsidR="00935F78" w:rsidRPr="00935F78" w:rsidRDefault="00935F78" w:rsidP="00B03D63">
            <w:pPr>
              <w:rPr>
                <w:rFonts w:asciiTheme="minorHAnsi" w:hAnsiTheme="minorHAnsi" w:cs="Arial"/>
                <w:b/>
                <w:sz w:val="22"/>
                <w:szCs w:val="22"/>
              </w:rPr>
            </w:pPr>
          </w:p>
          <w:p w14:paraId="3D5EF511" w14:textId="77777777" w:rsidR="00935F78" w:rsidRPr="00935F78" w:rsidRDefault="00935F78" w:rsidP="00B03D63">
            <w:pPr>
              <w:rPr>
                <w:rFonts w:asciiTheme="minorHAnsi" w:hAnsiTheme="minorHAnsi" w:cs="Arial"/>
                <w:b/>
                <w:sz w:val="22"/>
                <w:szCs w:val="22"/>
              </w:rPr>
            </w:pPr>
          </w:p>
        </w:tc>
        <w:tc>
          <w:tcPr>
            <w:tcW w:w="3807" w:type="dxa"/>
            <w:shd w:val="clear" w:color="auto" w:fill="auto"/>
          </w:tcPr>
          <w:p w14:paraId="69DA9184" w14:textId="5ADBBDEC" w:rsidR="00935F78" w:rsidRDefault="00935F78" w:rsidP="00B03D63">
            <w:pPr>
              <w:rPr>
                <w:rFonts w:asciiTheme="minorHAnsi" w:hAnsiTheme="minorHAnsi" w:cs="Arial"/>
                <w:sz w:val="22"/>
                <w:szCs w:val="22"/>
              </w:rPr>
            </w:pPr>
          </w:p>
          <w:p w14:paraId="2C58C553" w14:textId="436FA248" w:rsidR="00C82F9B" w:rsidRDefault="00C82F9B" w:rsidP="00B03D63">
            <w:pPr>
              <w:rPr>
                <w:rFonts w:asciiTheme="minorHAnsi" w:hAnsiTheme="minorHAnsi" w:cs="Arial"/>
                <w:sz w:val="22"/>
                <w:szCs w:val="22"/>
              </w:rPr>
            </w:pPr>
            <w:r>
              <w:rPr>
                <w:rFonts w:asciiTheme="minorHAnsi" w:hAnsiTheme="minorHAnsi" w:cs="Arial"/>
                <w:sz w:val="22"/>
                <w:szCs w:val="22"/>
              </w:rPr>
              <w:t>Royal Geographical Society Young Geographer of the Year “Where can geography take you?”</w:t>
            </w:r>
          </w:p>
          <w:p w14:paraId="2CB1809F" w14:textId="30A00CC9" w:rsidR="007B037B" w:rsidRDefault="007B037B" w:rsidP="00B03D63">
            <w:pPr>
              <w:rPr>
                <w:rFonts w:asciiTheme="minorHAnsi" w:hAnsiTheme="minorHAnsi" w:cs="Arial"/>
                <w:sz w:val="22"/>
                <w:szCs w:val="22"/>
              </w:rPr>
            </w:pPr>
          </w:p>
          <w:p w14:paraId="07173744" w14:textId="224D5EF6" w:rsidR="007B037B" w:rsidRDefault="007B037B" w:rsidP="00B03D63">
            <w:pPr>
              <w:rPr>
                <w:rFonts w:asciiTheme="minorHAnsi" w:hAnsiTheme="minorHAnsi" w:cs="Arial"/>
                <w:sz w:val="22"/>
                <w:szCs w:val="22"/>
              </w:rPr>
            </w:pPr>
            <w:r>
              <w:rPr>
                <w:rFonts w:asciiTheme="minorHAnsi" w:hAnsiTheme="minorHAnsi" w:cs="Arial"/>
                <w:sz w:val="22"/>
                <w:szCs w:val="22"/>
              </w:rPr>
              <w:t>People of the UK topic explores the location of social and economic opportunities for people in the UK.</w:t>
            </w:r>
          </w:p>
          <w:p w14:paraId="0D40DB09" w14:textId="0C1FAFAE" w:rsidR="00950CD5" w:rsidRDefault="00950CD5" w:rsidP="00B03D63">
            <w:pPr>
              <w:rPr>
                <w:rFonts w:asciiTheme="minorHAnsi" w:hAnsiTheme="minorHAnsi" w:cs="Arial"/>
                <w:sz w:val="22"/>
                <w:szCs w:val="22"/>
              </w:rPr>
            </w:pPr>
          </w:p>
          <w:p w14:paraId="36A35DA9" w14:textId="344CDFC2" w:rsidR="00950CD5" w:rsidRDefault="00950CD5" w:rsidP="00B03D63">
            <w:pPr>
              <w:rPr>
                <w:rFonts w:asciiTheme="minorHAnsi" w:hAnsiTheme="minorHAnsi" w:cs="Arial"/>
                <w:sz w:val="22"/>
                <w:szCs w:val="22"/>
              </w:rPr>
            </w:pPr>
          </w:p>
          <w:p w14:paraId="0430D445" w14:textId="604C16C8" w:rsidR="00950CD5" w:rsidRDefault="00950CD5" w:rsidP="00B03D63">
            <w:pPr>
              <w:rPr>
                <w:rFonts w:asciiTheme="minorHAnsi" w:hAnsiTheme="minorHAnsi" w:cs="Arial"/>
                <w:sz w:val="22"/>
                <w:szCs w:val="22"/>
              </w:rPr>
            </w:pPr>
          </w:p>
          <w:p w14:paraId="6212EDF1" w14:textId="3DE8D3B0" w:rsidR="00950CD5" w:rsidRDefault="00950CD5" w:rsidP="00B03D63">
            <w:pPr>
              <w:rPr>
                <w:rFonts w:asciiTheme="minorHAnsi" w:hAnsiTheme="minorHAnsi" w:cs="Arial"/>
                <w:sz w:val="22"/>
                <w:szCs w:val="22"/>
              </w:rPr>
            </w:pPr>
            <w:r>
              <w:rPr>
                <w:rFonts w:asciiTheme="minorHAnsi" w:hAnsiTheme="minorHAnsi" w:cs="Arial"/>
                <w:sz w:val="22"/>
                <w:szCs w:val="22"/>
              </w:rPr>
              <w:t>Geographical Skills and future careers lesson</w:t>
            </w:r>
          </w:p>
          <w:p w14:paraId="3D5EF512" w14:textId="54D5E255" w:rsidR="00A51F81" w:rsidRPr="00935F78" w:rsidRDefault="00C82F9B" w:rsidP="00B03D63">
            <w:pPr>
              <w:rPr>
                <w:rFonts w:asciiTheme="minorHAnsi" w:hAnsiTheme="minorHAnsi" w:cs="Arial"/>
                <w:sz w:val="22"/>
                <w:szCs w:val="22"/>
              </w:rPr>
            </w:pPr>
            <w:r>
              <w:rPr>
                <w:rFonts w:asciiTheme="minorHAnsi" w:hAnsiTheme="minorHAnsi" w:cs="Arial"/>
                <w:sz w:val="22"/>
                <w:szCs w:val="22"/>
              </w:rPr>
              <w:t xml:space="preserve"> </w:t>
            </w:r>
          </w:p>
        </w:tc>
        <w:tc>
          <w:tcPr>
            <w:tcW w:w="4536" w:type="dxa"/>
            <w:shd w:val="clear" w:color="auto" w:fill="auto"/>
          </w:tcPr>
          <w:p w14:paraId="08DAE547" w14:textId="77777777" w:rsidR="00935F78" w:rsidRDefault="00935F78" w:rsidP="00B03D63">
            <w:pPr>
              <w:rPr>
                <w:rFonts w:asciiTheme="minorHAnsi" w:hAnsiTheme="minorHAnsi" w:cs="Arial"/>
                <w:sz w:val="22"/>
                <w:szCs w:val="22"/>
              </w:rPr>
            </w:pPr>
          </w:p>
          <w:p w14:paraId="634B9F2A" w14:textId="77777777" w:rsidR="007B037B" w:rsidRDefault="00C82F9B" w:rsidP="00B03D63">
            <w:pPr>
              <w:rPr>
                <w:rFonts w:asciiTheme="minorHAnsi" w:hAnsiTheme="minorHAnsi" w:cs="Arial"/>
                <w:sz w:val="22"/>
                <w:szCs w:val="22"/>
              </w:rPr>
            </w:pPr>
            <w:r>
              <w:rPr>
                <w:rFonts w:asciiTheme="minorHAnsi" w:hAnsiTheme="minorHAnsi" w:cs="Arial"/>
                <w:sz w:val="22"/>
                <w:szCs w:val="22"/>
              </w:rPr>
              <w:t xml:space="preserve">Students completed an A3 poster of where they think geography can take them </w:t>
            </w:r>
            <w:r w:rsidR="00CE31C7">
              <w:rPr>
                <w:rFonts w:asciiTheme="minorHAnsi" w:hAnsiTheme="minorHAnsi" w:cs="Arial"/>
                <w:sz w:val="22"/>
                <w:szCs w:val="22"/>
              </w:rPr>
              <w:t>analysing all job avenues.</w:t>
            </w:r>
          </w:p>
          <w:p w14:paraId="35DE0664" w14:textId="77777777" w:rsidR="007B037B" w:rsidRDefault="007B037B" w:rsidP="00B03D63">
            <w:pPr>
              <w:rPr>
                <w:rFonts w:asciiTheme="minorHAnsi" w:hAnsiTheme="minorHAnsi" w:cs="Arial"/>
                <w:sz w:val="22"/>
                <w:szCs w:val="22"/>
              </w:rPr>
            </w:pPr>
          </w:p>
          <w:p w14:paraId="557B40A9" w14:textId="77777777" w:rsidR="00C82F9B" w:rsidRDefault="007B037B" w:rsidP="00B03D63">
            <w:pPr>
              <w:rPr>
                <w:rFonts w:asciiTheme="minorHAnsi" w:hAnsiTheme="minorHAnsi" w:cs="Arial"/>
                <w:sz w:val="22"/>
                <w:szCs w:val="22"/>
              </w:rPr>
            </w:pPr>
            <w:r>
              <w:rPr>
                <w:rFonts w:asciiTheme="minorHAnsi" w:hAnsiTheme="minorHAnsi" w:cs="Arial"/>
                <w:sz w:val="22"/>
                <w:szCs w:val="22"/>
              </w:rPr>
              <w:t>Use of statistical data to analyse the unequal divide of opportunities in the UK and why people internally migrate to different cities in the UK and what opportunities these places may offer.</w:t>
            </w:r>
          </w:p>
          <w:p w14:paraId="375E0500" w14:textId="77777777" w:rsidR="00B75F66" w:rsidRDefault="00B75F66" w:rsidP="00B03D63">
            <w:pPr>
              <w:rPr>
                <w:rFonts w:asciiTheme="minorHAnsi" w:hAnsiTheme="minorHAnsi" w:cs="Arial"/>
                <w:sz w:val="22"/>
                <w:szCs w:val="22"/>
              </w:rPr>
            </w:pPr>
          </w:p>
          <w:p w14:paraId="3D5EF513" w14:textId="0AA03539" w:rsidR="00950CD5" w:rsidRPr="00935F78" w:rsidRDefault="00950CD5" w:rsidP="00B03D63">
            <w:pPr>
              <w:rPr>
                <w:rFonts w:asciiTheme="minorHAnsi" w:hAnsiTheme="minorHAnsi" w:cs="Arial"/>
                <w:sz w:val="22"/>
                <w:szCs w:val="22"/>
              </w:rPr>
            </w:pPr>
            <w:r>
              <w:rPr>
                <w:rFonts w:asciiTheme="minorHAnsi" w:hAnsiTheme="minorHAnsi" w:cs="Arial"/>
                <w:sz w:val="22"/>
                <w:szCs w:val="22"/>
              </w:rPr>
              <w:t>Geographical Association lesson resources that</w:t>
            </w:r>
            <w:r w:rsidR="008112EB">
              <w:rPr>
                <w:rFonts w:asciiTheme="minorHAnsi" w:hAnsiTheme="minorHAnsi" w:cs="Arial"/>
                <w:sz w:val="22"/>
                <w:szCs w:val="22"/>
              </w:rPr>
              <w:t xml:space="preserve"> link mapping and coordination skills to the wider world of work. “The perfect geographer” skills resource.</w:t>
            </w:r>
          </w:p>
        </w:tc>
        <w:tc>
          <w:tcPr>
            <w:tcW w:w="2268" w:type="dxa"/>
            <w:shd w:val="clear" w:color="auto" w:fill="auto"/>
          </w:tcPr>
          <w:p w14:paraId="58EDA2B8" w14:textId="77777777" w:rsidR="00935F78" w:rsidRDefault="00935F78" w:rsidP="00B03D63">
            <w:pPr>
              <w:rPr>
                <w:rFonts w:asciiTheme="minorHAnsi" w:hAnsiTheme="minorHAnsi" w:cs="Arial"/>
                <w:sz w:val="22"/>
                <w:szCs w:val="22"/>
              </w:rPr>
            </w:pPr>
          </w:p>
          <w:p w14:paraId="25FBBBEF" w14:textId="77777777" w:rsidR="008112EB" w:rsidRDefault="008112EB" w:rsidP="00B03D63">
            <w:pPr>
              <w:rPr>
                <w:rFonts w:asciiTheme="minorHAnsi" w:hAnsiTheme="minorHAnsi" w:cs="Arial"/>
                <w:sz w:val="22"/>
                <w:szCs w:val="22"/>
              </w:rPr>
            </w:pPr>
          </w:p>
          <w:p w14:paraId="61837171" w14:textId="77777777" w:rsidR="008112EB" w:rsidRDefault="008112EB" w:rsidP="00B03D63">
            <w:pPr>
              <w:rPr>
                <w:rFonts w:asciiTheme="minorHAnsi" w:hAnsiTheme="minorHAnsi" w:cs="Arial"/>
                <w:sz w:val="22"/>
                <w:szCs w:val="22"/>
              </w:rPr>
            </w:pPr>
          </w:p>
          <w:p w14:paraId="4E594F12" w14:textId="77777777" w:rsidR="008112EB" w:rsidRDefault="008112EB" w:rsidP="00B03D63">
            <w:pPr>
              <w:rPr>
                <w:rFonts w:asciiTheme="minorHAnsi" w:hAnsiTheme="minorHAnsi" w:cs="Arial"/>
                <w:sz w:val="22"/>
                <w:szCs w:val="22"/>
              </w:rPr>
            </w:pPr>
          </w:p>
          <w:p w14:paraId="256B01D9" w14:textId="77777777" w:rsidR="008112EB" w:rsidRDefault="008112EB" w:rsidP="00B03D63">
            <w:pPr>
              <w:rPr>
                <w:rFonts w:asciiTheme="minorHAnsi" w:hAnsiTheme="minorHAnsi" w:cs="Arial"/>
                <w:sz w:val="22"/>
                <w:szCs w:val="22"/>
              </w:rPr>
            </w:pPr>
          </w:p>
          <w:p w14:paraId="547C3C7E" w14:textId="77777777" w:rsidR="008112EB" w:rsidRDefault="008112EB" w:rsidP="00B03D63">
            <w:pPr>
              <w:rPr>
                <w:rFonts w:asciiTheme="minorHAnsi" w:hAnsiTheme="minorHAnsi" w:cs="Arial"/>
                <w:sz w:val="22"/>
                <w:szCs w:val="22"/>
              </w:rPr>
            </w:pPr>
          </w:p>
          <w:p w14:paraId="015D9482" w14:textId="77777777" w:rsidR="008112EB" w:rsidRDefault="008112EB" w:rsidP="00B03D63">
            <w:pPr>
              <w:rPr>
                <w:rFonts w:asciiTheme="minorHAnsi" w:hAnsiTheme="minorHAnsi" w:cs="Arial"/>
                <w:sz w:val="22"/>
                <w:szCs w:val="22"/>
              </w:rPr>
            </w:pPr>
          </w:p>
          <w:p w14:paraId="5024E3AD" w14:textId="77777777" w:rsidR="008112EB" w:rsidRDefault="008112EB" w:rsidP="00B03D63">
            <w:pPr>
              <w:rPr>
                <w:rFonts w:asciiTheme="minorHAnsi" w:hAnsiTheme="minorHAnsi" w:cs="Arial"/>
                <w:sz w:val="22"/>
                <w:szCs w:val="22"/>
              </w:rPr>
            </w:pPr>
          </w:p>
          <w:p w14:paraId="41A6BE28" w14:textId="77777777" w:rsidR="008112EB" w:rsidRDefault="008112EB" w:rsidP="00B03D63">
            <w:pPr>
              <w:rPr>
                <w:rFonts w:asciiTheme="minorHAnsi" w:hAnsiTheme="minorHAnsi" w:cs="Arial"/>
                <w:sz w:val="22"/>
                <w:szCs w:val="22"/>
              </w:rPr>
            </w:pPr>
          </w:p>
          <w:p w14:paraId="273FDCA6" w14:textId="77777777" w:rsidR="008112EB" w:rsidRDefault="008112EB" w:rsidP="00B03D63">
            <w:pPr>
              <w:rPr>
                <w:rFonts w:asciiTheme="minorHAnsi" w:hAnsiTheme="minorHAnsi" w:cs="Arial"/>
                <w:sz w:val="22"/>
                <w:szCs w:val="22"/>
              </w:rPr>
            </w:pPr>
          </w:p>
          <w:p w14:paraId="28B6D05C" w14:textId="77777777" w:rsidR="008112EB" w:rsidRDefault="008112EB" w:rsidP="00B03D63">
            <w:pPr>
              <w:rPr>
                <w:rFonts w:asciiTheme="minorHAnsi" w:hAnsiTheme="minorHAnsi" w:cs="Arial"/>
                <w:sz w:val="22"/>
                <w:szCs w:val="22"/>
              </w:rPr>
            </w:pPr>
          </w:p>
          <w:p w14:paraId="3D5EF514" w14:textId="0864306B" w:rsidR="008112EB" w:rsidRPr="00935F78" w:rsidRDefault="008112EB" w:rsidP="00B03D63">
            <w:pPr>
              <w:rPr>
                <w:rFonts w:asciiTheme="minorHAnsi" w:hAnsiTheme="minorHAnsi" w:cs="Arial"/>
                <w:sz w:val="22"/>
                <w:szCs w:val="22"/>
              </w:rPr>
            </w:pPr>
            <w:r>
              <w:rPr>
                <w:rFonts w:asciiTheme="minorHAnsi" w:hAnsiTheme="minorHAnsi" w:cs="Arial"/>
                <w:sz w:val="22"/>
                <w:szCs w:val="22"/>
              </w:rPr>
              <w:t>3</w:t>
            </w:r>
          </w:p>
        </w:tc>
        <w:tc>
          <w:tcPr>
            <w:tcW w:w="1843" w:type="dxa"/>
            <w:shd w:val="clear" w:color="auto" w:fill="auto"/>
          </w:tcPr>
          <w:p w14:paraId="3D5EF515" w14:textId="51177536" w:rsidR="00935F78" w:rsidRPr="00935F78" w:rsidRDefault="008112EB" w:rsidP="00B03D63">
            <w:pPr>
              <w:rPr>
                <w:rFonts w:asciiTheme="minorHAnsi" w:hAnsiTheme="minorHAnsi" w:cs="Arial"/>
                <w:sz w:val="22"/>
                <w:szCs w:val="22"/>
              </w:rPr>
            </w:pPr>
            <w:r>
              <w:rPr>
                <w:rFonts w:asciiTheme="minorHAnsi" w:hAnsiTheme="minorHAnsi" w:cs="Arial"/>
                <w:sz w:val="22"/>
                <w:szCs w:val="22"/>
              </w:rPr>
              <w:t>4, 5</w:t>
            </w:r>
          </w:p>
        </w:tc>
        <w:tc>
          <w:tcPr>
            <w:tcW w:w="1890" w:type="dxa"/>
            <w:shd w:val="clear" w:color="auto" w:fill="auto"/>
          </w:tcPr>
          <w:p w14:paraId="3D5EF516" w14:textId="1EA8646F" w:rsidR="00935F78" w:rsidRPr="00935F78" w:rsidRDefault="008112EB" w:rsidP="00B03D63">
            <w:pPr>
              <w:rPr>
                <w:rFonts w:asciiTheme="minorHAnsi" w:hAnsiTheme="minorHAnsi" w:cs="Arial"/>
                <w:sz w:val="22"/>
                <w:szCs w:val="22"/>
              </w:rPr>
            </w:pPr>
            <w:r>
              <w:rPr>
                <w:rFonts w:asciiTheme="minorHAnsi" w:hAnsiTheme="minorHAnsi" w:cs="Arial"/>
                <w:sz w:val="22"/>
                <w:szCs w:val="22"/>
              </w:rPr>
              <w:t>14</w:t>
            </w:r>
          </w:p>
        </w:tc>
      </w:tr>
      <w:tr w:rsidR="00935F78" w:rsidRPr="00935F78" w14:paraId="3D5EF521" w14:textId="77777777" w:rsidTr="009F3A5F">
        <w:tc>
          <w:tcPr>
            <w:tcW w:w="1008" w:type="dxa"/>
            <w:shd w:val="clear" w:color="auto" w:fill="auto"/>
          </w:tcPr>
          <w:p w14:paraId="3D5EF518" w14:textId="77777777" w:rsidR="00935F78" w:rsidRPr="00935F78" w:rsidRDefault="00935F78" w:rsidP="00B03D63">
            <w:pPr>
              <w:rPr>
                <w:rFonts w:asciiTheme="minorHAnsi" w:hAnsiTheme="minorHAnsi" w:cs="Arial"/>
                <w:b/>
                <w:sz w:val="22"/>
                <w:szCs w:val="22"/>
              </w:rPr>
            </w:pPr>
            <w:r w:rsidRPr="00935F78">
              <w:rPr>
                <w:rFonts w:asciiTheme="minorHAnsi" w:hAnsiTheme="minorHAnsi" w:cs="Arial"/>
                <w:b/>
                <w:sz w:val="22"/>
                <w:szCs w:val="22"/>
              </w:rPr>
              <w:t>8</w:t>
            </w:r>
          </w:p>
          <w:p w14:paraId="3D5EF519" w14:textId="77777777" w:rsidR="00935F78" w:rsidRPr="00935F78" w:rsidRDefault="00935F78" w:rsidP="00B03D63">
            <w:pPr>
              <w:rPr>
                <w:rFonts w:asciiTheme="minorHAnsi" w:hAnsiTheme="minorHAnsi" w:cs="Arial"/>
                <w:b/>
                <w:sz w:val="22"/>
                <w:szCs w:val="22"/>
              </w:rPr>
            </w:pPr>
          </w:p>
          <w:p w14:paraId="3D5EF51A" w14:textId="77777777" w:rsidR="00935F78" w:rsidRPr="00935F78" w:rsidRDefault="00935F78" w:rsidP="00B03D63">
            <w:pPr>
              <w:rPr>
                <w:rFonts w:asciiTheme="minorHAnsi" w:hAnsiTheme="minorHAnsi" w:cs="Arial"/>
                <w:b/>
                <w:sz w:val="22"/>
                <w:szCs w:val="22"/>
              </w:rPr>
            </w:pPr>
          </w:p>
          <w:p w14:paraId="3D5EF51B" w14:textId="77777777" w:rsidR="00935F78" w:rsidRPr="00935F78" w:rsidRDefault="00935F78" w:rsidP="00B03D63">
            <w:pPr>
              <w:rPr>
                <w:rFonts w:asciiTheme="minorHAnsi" w:hAnsiTheme="minorHAnsi" w:cs="Arial"/>
                <w:b/>
                <w:sz w:val="22"/>
                <w:szCs w:val="22"/>
              </w:rPr>
            </w:pPr>
          </w:p>
        </w:tc>
        <w:tc>
          <w:tcPr>
            <w:tcW w:w="3807" w:type="dxa"/>
            <w:shd w:val="clear" w:color="auto" w:fill="auto"/>
          </w:tcPr>
          <w:p w14:paraId="330FA723" w14:textId="77777777" w:rsidR="00CE31C7" w:rsidRDefault="00CE31C7" w:rsidP="00CE31C7">
            <w:pPr>
              <w:rPr>
                <w:rFonts w:asciiTheme="minorHAnsi" w:hAnsiTheme="minorHAnsi" w:cs="Arial"/>
                <w:sz w:val="22"/>
                <w:szCs w:val="22"/>
              </w:rPr>
            </w:pPr>
            <w:r>
              <w:rPr>
                <w:rFonts w:asciiTheme="minorHAnsi" w:hAnsiTheme="minorHAnsi" w:cs="Arial"/>
                <w:sz w:val="22"/>
                <w:szCs w:val="22"/>
              </w:rPr>
              <w:t>Royal Geographical Society Young Geographer of the Year “Where can geography take you?”</w:t>
            </w:r>
          </w:p>
          <w:p w14:paraId="5A7322F4" w14:textId="77777777" w:rsidR="00CE31C7" w:rsidRDefault="00CE31C7" w:rsidP="00B03D63">
            <w:pPr>
              <w:rPr>
                <w:rFonts w:asciiTheme="minorHAnsi" w:hAnsiTheme="minorHAnsi" w:cs="Arial"/>
                <w:sz w:val="22"/>
                <w:szCs w:val="22"/>
              </w:rPr>
            </w:pPr>
          </w:p>
          <w:p w14:paraId="3D5EF51C" w14:textId="7A8BA62E" w:rsidR="00935F78" w:rsidRPr="00935F78" w:rsidRDefault="007D7673" w:rsidP="00B03D63">
            <w:pPr>
              <w:rPr>
                <w:rFonts w:asciiTheme="minorHAnsi" w:hAnsiTheme="minorHAnsi" w:cs="Arial"/>
                <w:sz w:val="22"/>
                <w:szCs w:val="22"/>
              </w:rPr>
            </w:pPr>
            <w:r>
              <w:rPr>
                <w:rFonts w:asciiTheme="minorHAnsi" w:hAnsiTheme="minorHAnsi" w:cs="Arial"/>
                <w:sz w:val="22"/>
                <w:szCs w:val="22"/>
              </w:rPr>
              <w:t>Work, rest and play topic explores different work sectors and job types amongst countries.</w:t>
            </w:r>
          </w:p>
        </w:tc>
        <w:tc>
          <w:tcPr>
            <w:tcW w:w="4536" w:type="dxa"/>
            <w:shd w:val="clear" w:color="auto" w:fill="auto"/>
          </w:tcPr>
          <w:p w14:paraId="16E2748D" w14:textId="77777777" w:rsidR="00CE31C7" w:rsidRDefault="00CE31C7" w:rsidP="00B03D63">
            <w:pPr>
              <w:rPr>
                <w:rFonts w:asciiTheme="minorHAnsi" w:hAnsiTheme="minorHAnsi" w:cs="Arial"/>
                <w:sz w:val="22"/>
                <w:szCs w:val="22"/>
              </w:rPr>
            </w:pPr>
            <w:r>
              <w:rPr>
                <w:rFonts w:asciiTheme="minorHAnsi" w:hAnsiTheme="minorHAnsi" w:cs="Arial"/>
                <w:sz w:val="22"/>
                <w:szCs w:val="22"/>
              </w:rPr>
              <w:t xml:space="preserve">Students completed an A3 poster of where they think geography can take them analysing all job avenues. </w:t>
            </w:r>
          </w:p>
          <w:p w14:paraId="2E8BC603" w14:textId="77777777" w:rsidR="00CE31C7" w:rsidRDefault="00CE31C7" w:rsidP="00B03D63">
            <w:pPr>
              <w:rPr>
                <w:rFonts w:asciiTheme="minorHAnsi" w:hAnsiTheme="minorHAnsi" w:cs="Arial"/>
                <w:sz w:val="22"/>
                <w:szCs w:val="22"/>
              </w:rPr>
            </w:pPr>
          </w:p>
          <w:p w14:paraId="4F2DDE8D" w14:textId="089DF34F" w:rsidR="00935F78" w:rsidRDefault="007D7673" w:rsidP="00B03D63">
            <w:pPr>
              <w:rPr>
                <w:rFonts w:asciiTheme="minorHAnsi" w:hAnsiTheme="minorHAnsi" w:cs="Arial"/>
                <w:sz w:val="22"/>
                <w:szCs w:val="22"/>
              </w:rPr>
            </w:pPr>
            <w:r>
              <w:rPr>
                <w:rFonts w:asciiTheme="minorHAnsi" w:hAnsiTheme="minorHAnsi" w:cs="Arial"/>
                <w:sz w:val="22"/>
                <w:szCs w:val="22"/>
              </w:rPr>
              <w:t xml:space="preserve">Explore a range of careers in primary, secondary, tertiary and quaternary sectors through categorising </w:t>
            </w:r>
            <w:r w:rsidR="00C82F9B">
              <w:rPr>
                <w:rFonts w:asciiTheme="minorHAnsi" w:hAnsiTheme="minorHAnsi" w:cs="Arial"/>
                <w:sz w:val="22"/>
                <w:szCs w:val="22"/>
              </w:rPr>
              <w:t>types of job, pay scale and skills needed.</w:t>
            </w:r>
          </w:p>
          <w:p w14:paraId="3D5EF51D" w14:textId="70F3AC82" w:rsidR="00C82F9B" w:rsidRPr="00935F78" w:rsidRDefault="00C82F9B" w:rsidP="00B03D63">
            <w:pPr>
              <w:rPr>
                <w:rFonts w:asciiTheme="minorHAnsi" w:hAnsiTheme="minorHAnsi" w:cs="Arial"/>
                <w:sz w:val="22"/>
                <w:szCs w:val="22"/>
              </w:rPr>
            </w:pPr>
          </w:p>
        </w:tc>
        <w:tc>
          <w:tcPr>
            <w:tcW w:w="2268" w:type="dxa"/>
            <w:shd w:val="clear" w:color="auto" w:fill="auto"/>
          </w:tcPr>
          <w:p w14:paraId="3D5EF51E" w14:textId="77777777" w:rsidR="00935F78" w:rsidRPr="00935F78" w:rsidRDefault="00935F78" w:rsidP="00B03D63">
            <w:pPr>
              <w:rPr>
                <w:rFonts w:asciiTheme="minorHAnsi" w:hAnsiTheme="minorHAnsi" w:cs="Arial"/>
                <w:sz w:val="22"/>
                <w:szCs w:val="22"/>
              </w:rPr>
            </w:pPr>
          </w:p>
        </w:tc>
        <w:tc>
          <w:tcPr>
            <w:tcW w:w="1843" w:type="dxa"/>
            <w:shd w:val="clear" w:color="auto" w:fill="auto"/>
          </w:tcPr>
          <w:p w14:paraId="3D5EF51F" w14:textId="785E76A1" w:rsidR="00935F78" w:rsidRPr="00935F78" w:rsidRDefault="008112EB" w:rsidP="00B03D63">
            <w:pPr>
              <w:rPr>
                <w:rFonts w:asciiTheme="minorHAnsi" w:hAnsiTheme="minorHAnsi" w:cs="Arial"/>
                <w:sz w:val="22"/>
                <w:szCs w:val="22"/>
              </w:rPr>
            </w:pPr>
            <w:r>
              <w:rPr>
                <w:rFonts w:asciiTheme="minorHAnsi" w:hAnsiTheme="minorHAnsi" w:cs="Arial"/>
                <w:sz w:val="22"/>
                <w:szCs w:val="22"/>
              </w:rPr>
              <w:t>4, 5</w:t>
            </w:r>
          </w:p>
        </w:tc>
        <w:tc>
          <w:tcPr>
            <w:tcW w:w="1890" w:type="dxa"/>
            <w:shd w:val="clear" w:color="auto" w:fill="auto"/>
          </w:tcPr>
          <w:p w14:paraId="3D5EF520" w14:textId="4FE08A9E" w:rsidR="00935F78" w:rsidRPr="00935F78" w:rsidRDefault="008112EB" w:rsidP="00B03D63">
            <w:pPr>
              <w:rPr>
                <w:rFonts w:asciiTheme="minorHAnsi" w:hAnsiTheme="minorHAnsi" w:cs="Arial"/>
                <w:sz w:val="22"/>
                <w:szCs w:val="22"/>
              </w:rPr>
            </w:pPr>
            <w:r>
              <w:rPr>
                <w:rFonts w:asciiTheme="minorHAnsi" w:hAnsiTheme="minorHAnsi" w:cs="Arial"/>
                <w:sz w:val="22"/>
                <w:szCs w:val="22"/>
              </w:rPr>
              <w:t>14</w:t>
            </w:r>
          </w:p>
        </w:tc>
      </w:tr>
      <w:tr w:rsidR="00935F78" w:rsidRPr="00935F78" w14:paraId="3D5EF52B" w14:textId="77777777" w:rsidTr="009F3A5F">
        <w:tc>
          <w:tcPr>
            <w:tcW w:w="1008" w:type="dxa"/>
            <w:shd w:val="clear" w:color="auto" w:fill="auto"/>
          </w:tcPr>
          <w:p w14:paraId="3D5EF522" w14:textId="77777777" w:rsidR="00935F78" w:rsidRPr="00935F78" w:rsidRDefault="00935F78" w:rsidP="00B03D63">
            <w:pPr>
              <w:rPr>
                <w:rFonts w:asciiTheme="minorHAnsi" w:hAnsiTheme="minorHAnsi" w:cs="Arial"/>
                <w:b/>
                <w:sz w:val="22"/>
                <w:szCs w:val="22"/>
              </w:rPr>
            </w:pPr>
            <w:r w:rsidRPr="00935F78">
              <w:rPr>
                <w:rFonts w:asciiTheme="minorHAnsi" w:hAnsiTheme="minorHAnsi" w:cs="Arial"/>
                <w:b/>
                <w:sz w:val="22"/>
                <w:szCs w:val="22"/>
              </w:rPr>
              <w:lastRenderedPageBreak/>
              <w:t>9</w:t>
            </w:r>
          </w:p>
          <w:p w14:paraId="3D5EF523" w14:textId="77777777" w:rsidR="00935F78" w:rsidRPr="00935F78" w:rsidRDefault="00935F78" w:rsidP="00B03D63">
            <w:pPr>
              <w:rPr>
                <w:rFonts w:asciiTheme="minorHAnsi" w:hAnsiTheme="minorHAnsi" w:cs="Arial"/>
                <w:b/>
                <w:sz w:val="22"/>
                <w:szCs w:val="22"/>
              </w:rPr>
            </w:pPr>
          </w:p>
          <w:p w14:paraId="3D5EF524" w14:textId="77777777" w:rsidR="00935F78" w:rsidRPr="00935F78" w:rsidRDefault="00935F78" w:rsidP="00B03D63">
            <w:pPr>
              <w:rPr>
                <w:rFonts w:asciiTheme="minorHAnsi" w:hAnsiTheme="minorHAnsi" w:cs="Arial"/>
                <w:b/>
                <w:sz w:val="22"/>
                <w:szCs w:val="22"/>
              </w:rPr>
            </w:pPr>
          </w:p>
          <w:p w14:paraId="3D5EF525" w14:textId="77777777" w:rsidR="00935F78" w:rsidRPr="00935F78" w:rsidRDefault="00935F78" w:rsidP="00B03D63">
            <w:pPr>
              <w:rPr>
                <w:rFonts w:asciiTheme="minorHAnsi" w:hAnsiTheme="minorHAnsi" w:cs="Arial"/>
                <w:b/>
                <w:sz w:val="22"/>
                <w:szCs w:val="22"/>
              </w:rPr>
            </w:pPr>
          </w:p>
        </w:tc>
        <w:tc>
          <w:tcPr>
            <w:tcW w:w="3807" w:type="dxa"/>
            <w:shd w:val="clear" w:color="auto" w:fill="auto"/>
          </w:tcPr>
          <w:p w14:paraId="744145D3" w14:textId="40D125A0" w:rsidR="00055C74" w:rsidRDefault="00055C74" w:rsidP="00055C74">
            <w:pPr>
              <w:rPr>
                <w:rFonts w:asciiTheme="minorHAnsi" w:hAnsiTheme="minorHAnsi" w:cs="Arial"/>
                <w:sz w:val="22"/>
                <w:szCs w:val="22"/>
              </w:rPr>
            </w:pPr>
            <w:r>
              <w:rPr>
                <w:rFonts w:asciiTheme="minorHAnsi" w:hAnsiTheme="minorHAnsi" w:cs="Arial"/>
                <w:sz w:val="22"/>
                <w:szCs w:val="22"/>
              </w:rPr>
              <w:t>Royal Geographical Society Young Geographer of the Year “Where can geography take you?”</w:t>
            </w:r>
          </w:p>
          <w:p w14:paraId="329D2F89" w14:textId="53356E63" w:rsidR="008112EB" w:rsidRDefault="008112EB" w:rsidP="00055C74">
            <w:pPr>
              <w:rPr>
                <w:rFonts w:asciiTheme="minorHAnsi" w:hAnsiTheme="minorHAnsi" w:cs="Arial"/>
                <w:sz w:val="22"/>
                <w:szCs w:val="22"/>
              </w:rPr>
            </w:pPr>
          </w:p>
          <w:p w14:paraId="43D8C114" w14:textId="6D73F26E" w:rsidR="008112EB" w:rsidRDefault="008112EB" w:rsidP="00055C74">
            <w:pPr>
              <w:rPr>
                <w:rFonts w:asciiTheme="minorHAnsi" w:hAnsiTheme="minorHAnsi" w:cs="Arial"/>
                <w:sz w:val="22"/>
                <w:szCs w:val="22"/>
              </w:rPr>
            </w:pPr>
          </w:p>
          <w:p w14:paraId="142861D2" w14:textId="543EDC0D" w:rsidR="008112EB" w:rsidRDefault="008112EB" w:rsidP="00055C74">
            <w:pPr>
              <w:rPr>
                <w:rFonts w:asciiTheme="minorHAnsi" w:hAnsiTheme="minorHAnsi" w:cs="Arial"/>
                <w:sz w:val="22"/>
                <w:szCs w:val="22"/>
              </w:rPr>
            </w:pPr>
            <w:r>
              <w:rPr>
                <w:rFonts w:asciiTheme="minorHAnsi" w:hAnsiTheme="minorHAnsi" w:cs="Arial"/>
                <w:sz w:val="22"/>
                <w:szCs w:val="22"/>
              </w:rPr>
              <w:t>Case study of the importance of tropical rainforests.</w:t>
            </w:r>
          </w:p>
          <w:p w14:paraId="3D5EF526" w14:textId="77777777" w:rsidR="00935F78" w:rsidRPr="00935F78" w:rsidRDefault="00935F78" w:rsidP="00B03D63">
            <w:pPr>
              <w:rPr>
                <w:rFonts w:asciiTheme="minorHAnsi" w:hAnsiTheme="minorHAnsi" w:cs="Arial"/>
                <w:sz w:val="22"/>
                <w:szCs w:val="22"/>
              </w:rPr>
            </w:pPr>
          </w:p>
        </w:tc>
        <w:tc>
          <w:tcPr>
            <w:tcW w:w="4536" w:type="dxa"/>
            <w:shd w:val="clear" w:color="auto" w:fill="auto"/>
          </w:tcPr>
          <w:p w14:paraId="0C12B5CB" w14:textId="77777777" w:rsidR="00055C74" w:rsidRDefault="00055C74" w:rsidP="00055C74">
            <w:pPr>
              <w:rPr>
                <w:rFonts w:asciiTheme="minorHAnsi" w:hAnsiTheme="minorHAnsi" w:cs="Arial"/>
                <w:sz w:val="22"/>
                <w:szCs w:val="22"/>
              </w:rPr>
            </w:pPr>
            <w:r>
              <w:rPr>
                <w:rFonts w:asciiTheme="minorHAnsi" w:hAnsiTheme="minorHAnsi" w:cs="Arial"/>
                <w:sz w:val="22"/>
                <w:szCs w:val="22"/>
              </w:rPr>
              <w:t xml:space="preserve">Students completed an A3 poster of where they think geography can take them analysing all job avenues. </w:t>
            </w:r>
          </w:p>
          <w:p w14:paraId="24B96F8F" w14:textId="77777777" w:rsidR="00935F78" w:rsidRDefault="00935F78" w:rsidP="00B03D63">
            <w:pPr>
              <w:rPr>
                <w:rFonts w:asciiTheme="minorHAnsi" w:hAnsiTheme="minorHAnsi" w:cs="Arial"/>
                <w:sz w:val="22"/>
                <w:szCs w:val="22"/>
              </w:rPr>
            </w:pPr>
          </w:p>
          <w:p w14:paraId="154D6743" w14:textId="77777777" w:rsidR="008112EB" w:rsidRDefault="008112EB" w:rsidP="00B03D63">
            <w:pPr>
              <w:rPr>
                <w:rFonts w:asciiTheme="minorHAnsi" w:hAnsiTheme="minorHAnsi" w:cs="Arial"/>
                <w:sz w:val="22"/>
                <w:szCs w:val="22"/>
              </w:rPr>
            </w:pPr>
          </w:p>
          <w:p w14:paraId="35AD0C05" w14:textId="77777777" w:rsidR="008112EB" w:rsidRDefault="008112EB" w:rsidP="00B03D63">
            <w:pPr>
              <w:rPr>
                <w:rFonts w:asciiTheme="minorHAnsi" w:hAnsiTheme="minorHAnsi" w:cs="Arial"/>
                <w:sz w:val="22"/>
                <w:szCs w:val="22"/>
              </w:rPr>
            </w:pPr>
            <w:r>
              <w:rPr>
                <w:rFonts w:asciiTheme="minorHAnsi" w:hAnsiTheme="minorHAnsi" w:cs="Arial"/>
                <w:sz w:val="22"/>
                <w:szCs w:val="22"/>
              </w:rPr>
              <w:t xml:space="preserve">Case study explores the Malaysian rainforest and the roles involved in responsibility and sustainability including the impact of business, governments and charity organisations. </w:t>
            </w:r>
          </w:p>
          <w:p w14:paraId="3D5EF527" w14:textId="4DC5BB3E" w:rsidR="008112EB" w:rsidRPr="00935F78" w:rsidRDefault="008112EB" w:rsidP="00B03D63">
            <w:pPr>
              <w:rPr>
                <w:rFonts w:asciiTheme="minorHAnsi" w:hAnsiTheme="minorHAnsi" w:cs="Arial"/>
                <w:sz w:val="22"/>
                <w:szCs w:val="22"/>
              </w:rPr>
            </w:pPr>
          </w:p>
        </w:tc>
        <w:tc>
          <w:tcPr>
            <w:tcW w:w="2268" w:type="dxa"/>
            <w:shd w:val="clear" w:color="auto" w:fill="auto"/>
          </w:tcPr>
          <w:p w14:paraId="5DF91676" w14:textId="77777777" w:rsidR="00935F78" w:rsidRDefault="00935F78" w:rsidP="00B03D63">
            <w:pPr>
              <w:rPr>
                <w:rFonts w:asciiTheme="minorHAnsi" w:hAnsiTheme="minorHAnsi" w:cs="Arial"/>
                <w:sz w:val="22"/>
                <w:szCs w:val="22"/>
              </w:rPr>
            </w:pPr>
          </w:p>
          <w:p w14:paraId="16D4ED32" w14:textId="77777777" w:rsidR="008112EB" w:rsidRDefault="008112EB" w:rsidP="00B03D63">
            <w:pPr>
              <w:rPr>
                <w:rFonts w:asciiTheme="minorHAnsi" w:hAnsiTheme="minorHAnsi" w:cs="Arial"/>
                <w:sz w:val="22"/>
                <w:szCs w:val="22"/>
              </w:rPr>
            </w:pPr>
          </w:p>
          <w:p w14:paraId="62FF71B9" w14:textId="77777777" w:rsidR="008112EB" w:rsidRDefault="008112EB" w:rsidP="00B03D63">
            <w:pPr>
              <w:rPr>
                <w:rFonts w:asciiTheme="minorHAnsi" w:hAnsiTheme="minorHAnsi" w:cs="Arial"/>
                <w:sz w:val="22"/>
                <w:szCs w:val="22"/>
              </w:rPr>
            </w:pPr>
          </w:p>
          <w:p w14:paraId="22917BD8" w14:textId="77777777" w:rsidR="008112EB" w:rsidRDefault="008112EB" w:rsidP="00B03D63">
            <w:pPr>
              <w:rPr>
                <w:rFonts w:asciiTheme="minorHAnsi" w:hAnsiTheme="minorHAnsi" w:cs="Arial"/>
                <w:sz w:val="22"/>
                <w:szCs w:val="22"/>
              </w:rPr>
            </w:pPr>
          </w:p>
          <w:p w14:paraId="010F9CB0" w14:textId="77777777" w:rsidR="008112EB" w:rsidRDefault="008112EB" w:rsidP="00B03D63">
            <w:pPr>
              <w:rPr>
                <w:rFonts w:asciiTheme="minorHAnsi" w:hAnsiTheme="minorHAnsi" w:cs="Arial"/>
                <w:sz w:val="22"/>
                <w:szCs w:val="22"/>
              </w:rPr>
            </w:pPr>
          </w:p>
          <w:p w14:paraId="3D5EF528" w14:textId="6738F387" w:rsidR="008112EB" w:rsidRPr="00935F78" w:rsidRDefault="008112EB" w:rsidP="00B03D63">
            <w:pPr>
              <w:rPr>
                <w:rFonts w:asciiTheme="minorHAnsi" w:hAnsiTheme="minorHAnsi" w:cs="Arial"/>
                <w:sz w:val="22"/>
                <w:szCs w:val="22"/>
              </w:rPr>
            </w:pPr>
            <w:r>
              <w:rPr>
                <w:rFonts w:asciiTheme="minorHAnsi" w:hAnsiTheme="minorHAnsi" w:cs="Arial"/>
                <w:sz w:val="22"/>
                <w:szCs w:val="22"/>
              </w:rPr>
              <w:t>1</w:t>
            </w:r>
            <w:r w:rsidR="00A653D5">
              <w:rPr>
                <w:rFonts w:asciiTheme="minorHAnsi" w:hAnsiTheme="minorHAnsi" w:cs="Arial"/>
                <w:sz w:val="22"/>
                <w:szCs w:val="22"/>
              </w:rPr>
              <w:t xml:space="preserve"> </w:t>
            </w:r>
            <w:bookmarkStart w:id="0" w:name="_GoBack"/>
            <w:bookmarkEnd w:id="0"/>
          </w:p>
        </w:tc>
        <w:tc>
          <w:tcPr>
            <w:tcW w:w="1843" w:type="dxa"/>
            <w:shd w:val="clear" w:color="auto" w:fill="auto"/>
          </w:tcPr>
          <w:p w14:paraId="2F0D6817" w14:textId="77777777" w:rsidR="00935F78" w:rsidRDefault="008112EB" w:rsidP="00B03D63">
            <w:pPr>
              <w:rPr>
                <w:rFonts w:asciiTheme="minorHAnsi" w:hAnsiTheme="minorHAnsi" w:cs="Arial"/>
                <w:sz w:val="22"/>
                <w:szCs w:val="22"/>
              </w:rPr>
            </w:pPr>
            <w:r>
              <w:rPr>
                <w:rFonts w:asciiTheme="minorHAnsi" w:hAnsiTheme="minorHAnsi" w:cs="Arial"/>
                <w:sz w:val="22"/>
                <w:szCs w:val="22"/>
              </w:rPr>
              <w:t>4, 5</w:t>
            </w:r>
          </w:p>
          <w:p w14:paraId="4B2C241D" w14:textId="77777777" w:rsidR="008112EB" w:rsidRDefault="008112EB" w:rsidP="00B03D63">
            <w:pPr>
              <w:rPr>
                <w:rFonts w:asciiTheme="minorHAnsi" w:hAnsiTheme="minorHAnsi" w:cs="Arial"/>
                <w:sz w:val="22"/>
                <w:szCs w:val="22"/>
              </w:rPr>
            </w:pPr>
          </w:p>
          <w:p w14:paraId="76F6F78D" w14:textId="77777777" w:rsidR="008112EB" w:rsidRDefault="008112EB" w:rsidP="00B03D63">
            <w:pPr>
              <w:rPr>
                <w:rFonts w:asciiTheme="minorHAnsi" w:hAnsiTheme="minorHAnsi" w:cs="Arial"/>
                <w:sz w:val="22"/>
                <w:szCs w:val="22"/>
              </w:rPr>
            </w:pPr>
          </w:p>
          <w:p w14:paraId="0BDD1CA9" w14:textId="77777777" w:rsidR="008112EB" w:rsidRDefault="008112EB" w:rsidP="00B03D63">
            <w:pPr>
              <w:rPr>
                <w:rFonts w:asciiTheme="minorHAnsi" w:hAnsiTheme="minorHAnsi" w:cs="Arial"/>
                <w:sz w:val="22"/>
                <w:szCs w:val="22"/>
              </w:rPr>
            </w:pPr>
          </w:p>
          <w:p w14:paraId="0E9F6CE5" w14:textId="15214637" w:rsidR="008112EB" w:rsidRDefault="008112EB" w:rsidP="00B03D63">
            <w:pPr>
              <w:rPr>
                <w:rFonts w:asciiTheme="minorHAnsi" w:hAnsiTheme="minorHAnsi" w:cs="Arial"/>
                <w:sz w:val="22"/>
                <w:szCs w:val="22"/>
              </w:rPr>
            </w:pPr>
          </w:p>
          <w:p w14:paraId="388F6839" w14:textId="709E2E0B" w:rsidR="008112EB" w:rsidRDefault="008112EB" w:rsidP="00B03D63">
            <w:pPr>
              <w:rPr>
                <w:rFonts w:asciiTheme="minorHAnsi" w:hAnsiTheme="minorHAnsi" w:cs="Arial"/>
                <w:sz w:val="22"/>
                <w:szCs w:val="22"/>
              </w:rPr>
            </w:pPr>
            <w:r>
              <w:rPr>
                <w:rFonts w:asciiTheme="minorHAnsi" w:hAnsiTheme="minorHAnsi" w:cs="Arial"/>
                <w:sz w:val="22"/>
                <w:szCs w:val="22"/>
              </w:rPr>
              <w:t>6</w:t>
            </w:r>
          </w:p>
          <w:p w14:paraId="3D5EF529" w14:textId="3CA12F46" w:rsidR="008112EB" w:rsidRPr="00935F78" w:rsidRDefault="008112EB" w:rsidP="00B03D63">
            <w:pPr>
              <w:rPr>
                <w:rFonts w:asciiTheme="minorHAnsi" w:hAnsiTheme="minorHAnsi" w:cs="Arial"/>
                <w:sz w:val="22"/>
                <w:szCs w:val="22"/>
              </w:rPr>
            </w:pPr>
          </w:p>
        </w:tc>
        <w:tc>
          <w:tcPr>
            <w:tcW w:w="1890" w:type="dxa"/>
            <w:shd w:val="clear" w:color="auto" w:fill="auto"/>
          </w:tcPr>
          <w:p w14:paraId="3D5EF52A" w14:textId="57E3ABB3" w:rsidR="00935F78" w:rsidRPr="00935F78" w:rsidRDefault="008112EB" w:rsidP="00B03D63">
            <w:pPr>
              <w:rPr>
                <w:rFonts w:asciiTheme="minorHAnsi" w:hAnsiTheme="minorHAnsi" w:cs="Arial"/>
                <w:sz w:val="22"/>
                <w:szCs w:val="22"/>
              </w:rPr>
            </w:pPr>
            <w:r>
              <w:rPr>
                <w:rFonts w:asciiTheme="minorHAnsi" w:hAnsiTheme="minorHAnsi" w:cs="Arial"/>
                <w:sz w:val="22"/>
                <w:szCs w:val="22"/>
              </w:rPr>
              <w:t>14</w:t>
            </w:r>
          </w:p>
        </w:tc>
      </w:tr>
      <w:tr w:rsidR="00935F78" w:rsidRPr="00935F78" w14:paraId="3D5EF535" w14:textId="77777777" w:rsidTr="009F3A5F">
        <w:tc>
          <w:tcPr>
            <w:tcW w:w="1008" w:type="dxa"/>
            <w:shd w:val="clear" w:color="auto" w:fill="auto"/>
          </w:tcPr>
          <w:p w14:paraId="3D5EF52C" w14:textId="77777777" w:rsidR="00935F78" w:rsidRPr="00935F78" w:rsidRDefault="00935F78" w:rsidP="00B03D63">
            <w:pPr>
              <w:rPr>
                <w:rFonts w:asciiTheme="minorHAnsi" w:hAnsiTheme="minorHAnsi" w:cs="Arial"/>
                <w:b/>
                <w:sz w:val="22"/>
                <w:szCs w:val="22"/>
              </w:rPr>
            </w:pPr>
            <w:r w:rsidRPr="00935F78">
              <w:rPr>
                <w:rFonts w:asciiTheme="minorHAnsi" w:hAnsiTheme="minorHAnsi" w:cs="Arial"/>
                <w:b/>
                <w:sz w:val="22"/>
                <w:szCs w:val="22"/>
              </w:rPr>
              <w:t>10</w:t>
            </w:r>
          </w:p>
          <w:p w14:paraId="3D5EF52D" w14:textId="77777777" w:rsidR="00935F78" w:rsidRPr="00935F78" w:rsidRDefault="00935F78" w:rsidP="00B03D63">
            <w:pPr>
              <w:rPr>
                <w:rFonts w:asciiTheme="minorHAnsi" w:hAnsiTheme="minorHAnsi" w:cs="Arial"/>
                <w:b/>
                <w:sz w:val="22"/>
                <w:szCs w:val="22"/>
              </w:rPr>
            </w:pPr>
          </w:p>
          <w:p w14:paraId="3D5EF52E" w14:textId="77777777" w:rsidR="00935F78" w:rsidRPr="00935F78" w:rsidRDefault="00935F78" w:rsidP="00B03D63">
            <w:pPr>
              <w:rPr>
                <w:rFonts w:asciiTheme="minorHAnsi" w:hAnsiTheme="minorHAnsi" w:cs="Arial"/>
                <w:b/>
                <w:sz w:val="22"/>
                <w:szCs w:val="22"/>
              </w:rPr>
            </w:pPr>
          </w:p>
          <w:p w14:paraId="3D5EF52F" w14:textId="77777777" w:rsidR="00935F78" w:rsidRPr="00935F78" w:rsidRDefault="00935F78" w:rsidP="00B03D63">
            <w:pPr>
              <w:rPr>
                <w:rFonts w:asciiTheme="minorHAnsi" w:hAnsiTheme="minorHAnsi" w:cs="Arial"/>
                <w:b/>
                <w:sz w:val="22"/>
                <w:szCs w:val="22"/>
              </w:rPr>
            </w:pPr>
          </w:p>
        </w:tc>
        <w:tc>
          <w:tcPr>
            <w:tcW w:w="3807" w:type="dxa"/>
            <w:shd w:val="clear" w:color="auto" w:fill="auto"/>
          </w:tcPr>
          <w:p w14:paraId="72CBE03E" w14:textId="0A8CB964" w:rsidR="00935F78" w:rsidRDefault="00CE31C7" w:rsidP="00B03D63">
            <w:pPr>
              <w:rPr>
                <w:rFonts w:asciiTheme="minorHAnsi" w:hAnsiTheme="minorHAnsi" w:cs="Arial"/>
                <w:iCs/>
                <w:sz w:val="22"/>
                <w:szCs w:val="22"/>
              </w:rPr>
            </w:pPr>
            <w:r>
              <w:rPr>
                <w:rFonts w:asciiTheme="minorHAnsi" w:hAnsiTheme="minorHAnsi" w:cs="Arial"/>
                <w:iCs/>
                <w:sz w:val="22"/>
                <w:szCs w:val="22"/>
              </w:rPr>
              <w:t>Case study of the Shell Oil</w:t>
            </w:r>
            <w:r w:rsidR="008112EB">
              <w:rPr>
                <w:rFonts w:asciiTheme="minorHAnsi" w:hAnsiTheme="minorHAnsi" w:cs="Arial"/>
                <w:iCs/>
                <w:sz w:val="22"/>
                <w:szCs w:val="22"/>
              </w:rPr>
              <w:t>.</w:t>
            </w:r>
          </w:p>
          <w:p w14:paraId="0677217E" w14:textId="13EB36ED" w:rsidR="00CE31C7" w:rsidRDefault="00CE31C7" w:rsidP="00B03D63">
            <w:pPr>
              <w:rPr>
                <w:rFonts w:asciiTheme="minorHAnsi" w:hAnsiTheme="minorHAnsi" w:cs="Arial"/>
                <w:iCs/>
                <w:sz w:val="22"/>
                <w:szCs w:val="22"/>
              </w:rPr>
            </w:pPr>
          </w:p>
          <w:p w14:paraId="310FD5B1" w14:textId="4785BD18" w:rsidR="007B037B" w:rsidRDefault="007B037B" w:rsidP="00B03D63">
            <w:pPr>
              <w:rPr>
                <w:rFonts w:asciiTheme="minorHAnsi" w:hAnsiTheme="minorHAnsi" w:cs="Arial"/>
                <w:iCs/>
                <w:sz w:val="22"/>
                <w:szCs w:val="22"/>
              </w:rPr>
            </w:pPr>
          </w:p>
          <w:p w14:paraId="70B41ABB" w14:textId="77777777" w:rsidR="007B037B" w:rsidRDefault="007B037B" w:rsidP="00B03D63">
            <w:pPr>
              <w:rPr>
                <w:rFonts w:asciiTheme="minorHAnsi" w:hAnsiTheme="minorHAnsi" w:cs="Arial"/>
                <w:iCs/>
                <w:sz w:val="22"/>
                <w:szCs w:val="22"/>
              </w:rPr>
            </w:pPr>
          </w:p>
          <w:p w14:paraId="0317CEE7" w14:textId="53B0DC90" w:rsidR="00CE31C7" w:rsidRDefault="00CE31C7" w:rsidP="00B03D63">
            <w:pPr>
              <w:rPr>
                <w:rFonts w:asciiTheme="minorHAnsi" w:hAnsiTheme="minorHAnsi" w:cs="Arial"/>
                <w:iCs/>
                <w:sz w:val="22"/>
                <w:szCs w:val="22"/>
              </w:rPr>
            </w:pPr>
            <w:r>
              <w:rPr>
                <w:rFonts w:asciiTheme="minorHAnsi" w:hAnsiTheme="minorHAnsi" w:cs="Arial"/>
                <w:iCs/>
                <w:sz w:val="22"/>
                <w:szCs w:val="22"/>
              </w:rPr>
              <w:t xml:space="preserve">Case study of job opportunities </w:t>
            </w:r>
            <w:r w:rsidR="00950CD5">
              <w:rPr>
                <w:rFonts w:asciiTheme="minorHAnsi" w:hAnsiTheme="minorHAnsi" w:cs="Arial"/>
                <w:iCs/>
                <w:sz w:val="22"/>
                <w:szCs w:val="22"/>
              </w:rPr>
              <w:t>and regeneration with</w:t>
            </w:r>
            <w:r>
              <w:rPr>
                <w:rFonts w:asciiTheme="minorHAnsi" w:hAnsiTheme="minorHAnsi" w:cs="Arial"/>
                <w:iCs/>
                <w:sz w:val="22"/>
                <w:szCs w:val="22"/>
              </w:rPr>
              <w:t>in Bristol</w:t>
            </w:r>
            <w:r w:rsidR="008112EB">
              <w:rPr>
                <w:rFonts w:asciiTheme="minorHAnsi" w:hAnsiTheme="minorHAnsi" w:cs="Arial"/>
                <w:iCs/>
                <w:sz w:val="22"/>
                <w:szCs w:val="22"/>
              </w:rPr>
              <w:t>.</w:t>
            </w:r>
          </w:p>
          <w:p w14:paraId="3D5EF530" w14:textId="436914D0" w:rsidR="00CE31C7" w:rsidRPr="00CE31C7" w:rsidRDefault="00CE31C7" w:rsidP="00B03D63">
            <w:pPr>
              <w:rPr>
                <w:rFonts w:asciiTheme="minorHAnsi" w:hAnsiTheme="minorHAnsi" w:cs="Arial"/>
                <w:iCs/>
                <w:sz w:val="22"/>
                <w:szCs w:val="22"/>
              </w:rPr>
            </w:pPr>
          </w:p>
        </w:tc>
        <w:tc>
          <w:tcPr>
            <w:tcW w:w="4536" w:type="dxa"/>
            <w:shd w:val="clear" w:color="auto" w:fill="auto"/>
          </w:tcPr>
          <w:p w14:paraId="41448629" w14:textId="4872700B" w:rsidR="00146230" w:rsidRPr="00055C74" w:rsidRDefault="00146230" w:rsidP="00B03D63">
            <w:pPr>
              <w:rPr>
                <w:rFonts w:asciiTheme="minorHAnsi" w:hAnsiTheme="minorHAnsi" w:cs="Arial"/>
                <w:iCs/>
                <w:sz w:val="22"/>
                <w:szCs w:val="22"/>
              </w:rPr>
            </w:pPr>
            <w:r w:rsidRPr="00055C74">
              <w:rPr>
                <w:rFonts w:asciiTheme="minorHAnsi" w:hAnsiTheme="minorHAnsi" w:cs="Arial"/>
                <w:iCs/>
                <w:sz w:val="22"/>
                <w:szCs w:val="22"/>
              </w:rPr>
              <w:t>Watching promotional videos and analysing statistics to explore the impact of a global business upon a particular place.</w:t>
            </w:r>
          </w:p>
          <w:p w14:paraId="6941366D" w14:textId="77777777" w:rsidR="007B037B" w:rsidRDefault="007B037B" w:rsidP="00B03D63">
            <w:pPr>
              <w:rPr>
                <w:rFonts w:asciiTheme="minorHAnsi" w:hAnsiTheme="minorHAnsi" w:cs="Arial"/>
                <w:i/>
                <w:sz w:val="22"/>
                <w:szCs w:val="22"/>
              </w:rPr>
            </w:pPr>
          </w:p>
          <w:p w14:paraId="3D5EF531" w14:textId="33EA5C72" w:rsidR="00935F78" w:rsidRPr="00950CD5" w:rsidRDefault="00950CD5" w:rsidP="00B03D63">
            <w:pPr>
              <w:rPr>
                <w:rFonts w:asciiTheme="minorHAnsi" w:hAnsiTheme="minorHAnsi" w:cs="Arial"/>
                <w:iCs/>
                <w:sz w:val="22"/>
                <w:szCs w:val="22"/>
              </w:rPr>
            </w:pPr>
            <w:r w:rsidRPr="00950CD5">
              <w:rPr>
                <w:rFonts w:asciiTheme="minorHAnsi" w:hAnsiTheme="minorHAnsi" w:cs="Arial"/>
                <w:iCs/>
                <w:sz w:val="22"/>
                <w:szCs w:val="22"/>
              </w:rPr>
              <w:t xml:space="preserve">Extensive exploration Bristol’s significance to the UK and wider world. This case study focuses on new industry and the opportunities this brings to a city. </w:t>
            </w:r>
          </w:p>
        </w:tc>
        <w:tc>
          <w:tcPr>
            <w:tcW w:w="2268" w:type="dxa"/>
            <w:shd w:val="clear" w:color="auto" w:fill="auto"/>
          </w:tcPr>
          <w:p w14:paraId="3D5EF532" w14:textId="77777777" w:rsidR="00935F78" w:rsidRPr="00872352" w:rsidRDefault="00935F78" w:rsidP="00B03D63">
            <w:pPr>
              <w:rPr>
                <w:rFonts w:asciiTheme="minorHAnsi" w:hAnsiTheme="minorHAnsi" w:cs="Arial"/>
                <w:i/>
                <w:sz w:val="22"/>
                <w:szCs w:val="22"/>
              </w:rPr>
            </w:pPr>
          </w:p>
        </w:tc>
        <w:tc>
          <w:tcPr>
            <w:tcW w:w="1843" w:type="dxa"/>
            <w:shd w:val="clear" w:color="auto" w:fill="auto"/>
          </w:tcPr>
          <w:p w14:paraId="03FBCA54" w14:textId="77777777" w:rsidR="00935F78" w:rsidRDefault="00A51F81" w:rsidP="00B03D63">
            <w:pPr>
              <w:rPr>
                <w:rFonts w:asciiTheme="minorHAnsi" w:hAnsiTheme="minorHAnsi" w:cs="Arial"/>
                <w:i/>
                <w:sz w:val="22"/>
                <w:szCs w:val="22"/>
              </w:rPr>
            </w:pPr>
            <w:r w:rsidRPr="00872352">
              <w:rPr>
                <w:rFonts w:asciiTheme="minorHAnsi" w:hAnsiTheme="minorHAnsi" w:cs="Arial"/>
                <w:i/>
                <w:sz w:val="22"/>
                <w:szCs w:val="22"/>
              </w:rPr>
              <w:t xml:space="preserve">4, </w:t>
            </w:r>
            <w:r w:rsidR="008112EB">
              <w:rPr>
                <w:rFonts w:asciiTheme="minorHAnsi" w:hAnsiTheme="minorHAnsi" w:cs="Arial"/>
                <w:i/>
                <w:sz w:val="22"/>
                <w:szCs w:val="22"/>
              </w:rPr>
              <w:t>6, 7</w:t>
            </w:r>
          </w:p>
          <w:p w14:paraId="704272FA" w14:textId="77777777" w:rsidR="008112EB" w:rsidRDefault="008112EB" w:rsidP="00B03D63">
            <w:pPr>
              <w:rPr>
                <w:rFonts w:asciiTheme="minorHAnsi" w:hAnsiTheme="minorHAnsi" w:cs="Arial"/>
                <w:i/>
                <w:sz w:val="22"/>
                <w:szCs w:val="22"/>
              </w:rPr>
            </w:pPr>
          </w:p>
          <w:p w14:paraId="36E19D47" w14:textId="77777777" w:rsidR="008112EB" w:rsidRDefault="008112EB" w:rsidP="00B03D63">
            <w:pPr>
              <w:rPr>
                <w:rFonts w:asciiTheme="minorHAnsi" w:hAnsiTheme="minorHAnsi" w:cs="Arial"/>
                <w:i/>
                <w:sz w:val="22"/>
                <w:szCs w:val="22"/>
              </w:rPr>
            </w:pPr>
          </w:p>
          <w:p w14:paraId="3879FB58" w14:textId="77777777" w:rsidR="008112EB" w:rsidRDefault="008112EB" w:rsidP="00B03D63">
            <w:pPr>
              <w:rPr>
                <w:rFonts w:asciiTheme="minorHAnsi" w:hAnsiTheme="minorHAnsi" w:cs="Arial"/>
                <w:i/>
                <w:sz w:val="22"/>
                <w:szCs w:val="22"/>
              </w:rPr>
            </w:pPr>
          </w:p>
          <w:p w14:paraId="3D5EF533" w14:textId="3AAC43AC" w:rsidR="008112EB" w:rsidRPr="00872352" w:rsidRDefault="008112EB" w:rsidP="00B03D63">
            <w:pPr>
              <w:rPr>
                <w:rFonts w:asciiTheme="minorHAnsi" w:hAnsiTheme="minorHAnsi" w:cs="Arial"/>
                <w:i/>
                <w:sz w:val="22"/>
                <w:szCs w:val="22"/>
              </w:rPr>
            </w:pPr>
            <w:r w:rsidRPr="00872352">
              <w:rPr>
                <w:rFonts w:asciiTheme="minorHAnsi" w:hAnsiTheme="minorHAnsi" w:cs="Arial"/>
                <w:i/>
                <w:sz w:val="22"/>
                <w:szCs w:val="22"/>
              </w:rPr>
              <w:t xml:space="preserve">4, </w:t>
            </w:r>
            <w:r>
              <w:rPr>
                <w:rFonts w:asciiTheme="minorHAnsi" w:hAnsiTheme="minorHAnsi" w:cs="Arial"/>
                <w:i/>
                <w:sz w:val="22"/>
                <w:szCs w:val="22"/>
              </w:rPr>
              <w:t>6, 7</w:t>
            </w:r>
          </w:p>
        </w:tc>
        <w:tc>
          <w:tcPr>
            <w:tcW w:w="1890" w:type="dxa"/>
            <w:shd w:val="clear" w:color="auto" w:fill="auto"/>
          </w:tcPr>
          <w:p w14:paraId="3D5EF534" w14:textId="708FD76A" w:rsidR="00935F78" w:rsidRPr="00872352" w:rsidRDefault="00A51F81" w:rsidP="00B03D63">
            <w:pPr>
              <w:rPr>
                <w:rFonts w:asciiTheme="minorHAnsi" w:hAnsiTheme="minorHAnsi" w:cs="Arial"/>
                <w:i/>
                <w:sz w:val="22"/>
                <w:szCs w:val="22"/>
              </w:rPr>
            </w:pPr>
            <w:r w:rsidRPr="00872352">
              <w:rPr>
                <w:rFonts w:asciiTheme="minorHAnsi" w:hAnsiTheme="minorHAnsi" w:cs="Arial"/>
                <w:i/>
                <w:sz w:val="22"/>
                <w:szCs w:val="22"/>
              </w:rPr>
              <w:t>16</w:t>
            </w:r>
          </w:p>
        </w:tc>
      </w:tr>
      <w:tr w:rsidR="00935F78" w:rsidRPr="00935F78" w14:paraId="3D5EF53E" w14:textId="77777777" w:rsidTr="009F3A5F">
        <w:trPr>
          <w:trHeight w:val="947"/>
        </w:trPr>
        <w:tc>
          <w:tcPr>
            <w:tcW w:w="1008" w:type="dxa"/>
            <w:shd w:val="clear" w:color="auto" w:fill="auto"/>
          </w:tcPr>
          <w:p w14:paraId="3D5EF536" w14:textId="77777777" w:rsidR="00935F78" w:rsidRPr="00935F78" w:rsidRDefault="00935F78" w:rsidP="00B03D63">
            <w:pPr>
              <w:rPr>
                <w:rFonts w:asciiTheme="minorHAnsi" w:hAnsiTheme="minorHAnsi" w:cs="Arial"/>
                <w:b/>
                <w:sz w:val="22"/>
                <w:szCs w:val="22"/>
              </w:rPr>
            </w:pPr>
            <w:r w:rsidRPr="00935F78">
              <w:rPr>
                <w:rFonts w:asciiTheme="minorHAnsi" w:hAnsiTheme="minorHAnsi" w:cs="Arial"/>
                <w:b/>
                <w:sz w:val="22"/>
                <w:szCs w:val="22"/>
              </w:rPr>
              <w:t>11</w:t>
            </w:r>
          </w:p>
          <w:p w14:paraId="3D5EF537" w14:textId="77777777" w:rsidR="00935F78" w:rsidRPr="00935F78" w:rsidRDefault="00935F78" w:rsidP="00B03D63">
            <w:pPr>
              <w:rPr>
                <w:rFonts w:asciiTheme="minorHAnsi" w:hAnsiTheme="minorHAnsi" w:cs="Arial"/>
                <w:b/>
                <w:sz w:val="22"/>
                <w:szCs w:val="22"/>
              </w:rPr>
            </w:pPr>
          </w:p>
          <w:p w14:paraId="3D5EF538" w14:textId="77777777" w:rsidR="00935F78" w:rsidRPr="00935F78" w:rsidRDefault="00935F78" w:rsidP="00B03D63">
            <w:pPr>
              <w:rPr>
                <w:rFonts w:asciiTheme="minorHAnsi" w:hAnsiTheme="minorHAnsi" w:cs="Arial"/>
                <w:b/>
                <w:sz w:val="22"/>
                <w:szCs w:val="22"/>
              </w:rPr>
            </w:pPr>
          </w:p>
        </w:tc>
        <w:tc>
          <w:tcPr>
            <w:tcW w:w="3807" w:type="dxa"/>
            <w:shd w:val="clear" w:color="auto" w:fill="auto"/>
          </w:tcPr>
          <w:p w14:paraId="3D5EF539" w14:textId="7590BD15" w:rsidR="00935F78" w:rsidRPr="00B75F66" w:rsidRDefault="00055C74" w:rsidP="00B03D63">
            <w:pPr>
              <w:rPr>
                <w:rFonts w:asciiTheme="minorHAnsi" w:hAnsiTheme="minorHAnsi" w:cs="Arial"/>
                <w:iCs/>
                <w:sz w:val="22"/>
                <w:szCs w:val="22"/>
              </w:rPr>
            </w:pPr>
            <w:r>
              <w:rPr>
                <w:rFonts w:asciiTheme="minorHAnsi" w:hAnsiTheme="minorHAnsi" w:cs="Arial"/>
                <w:iCs/>
                <w:sz w:val="22"/>
                <w:szCs w:val="22"/>
              </w:rPr>
              <w:t>GCSE topics linked with the wider world and job opportunities in the UK and beyond.</w:t>
            </w:r>
          </w:p>
        </w:tc>
        <w:tc>
          <w:tcPr>
            <w:tcW w:w="4536" w:type="dxa"/>
            <w:shd w:val="clear" w:color="auto" w:fill="auto"/>
          </w:tcPr>
          <w:p w14:paraId="3D5EF53A" w14:textId="50EA1882" w:rsidR="00935F78" w:rsidRPr="00055C74" w:rsidRDefault="00B75F66" w:rsidP="00B03D63">
            <w:pPr>
              <w:rPr>
                <w:rFonts w:asciiTheme="minorHAnsi" w:hAnsiTheme="minorHAnsi" w:cs="Arial"/>
                <w:iCs/>
                <w:sz w:val="22"/>
                <w:szCs w:val="22"/>
              </w:rPr>
            </w:pPr>
            <w:r w:rsidRPr="00055C74">
              <w:rPr>
                <w:rFonts w:asciiTheme="minorHAnsi" w:hAnsiTheme="minorHAnsi" w:cs="Arial"/>
                <w:iCs/>
                <w:sz w:val="22"/>
                <w:szCs w:val="22"/>
              </w:rPr>
              <w:t xml:space="preserve">Posters made that link topics up with all potential job routes, </w:t>
            </w:r>
            <w:r w:rsidR="00055C74" w:rsidRPr="00055C74">
              <w:rPr>
                <w:rFonts w:asciiTheme="minorHAnsi" w:hAnsiTheme="minorHAnsi" w:cs="Arial"/>
                <w:iCs/>
                <w:sz w:val="22"/>
                <w:szCs w:val="22"/>
              </w:rPr>
              <w:t>business names</w:t>
            </w:r>
            <w:r w:rsidRPr="00055C74">
              <w:rPr>
                <w:rFonts w:asciiTheme="minorHAnsi" w:hAnsiTheme="minorHAnsi" w:cs="Arial"/>
                <w:iCs/>
                <w:sz w:val="22"/>
                <w:szCs w:val="22"/>
              </w:rPr>
              <w:t xml:space="preserve"> and salaries. </w:t>
            </w:r>
          </w:p>
        </w:tc>
        <w:tc>
          <w:tcPr>
            <w:tcW w:w="2268" w:type="dxa"/>
            <w:shd w:val="clear" w:color="auto" w:fill="auto"/>
          </w:tcPr>
          <w:p w14:paraId="3D5EF53B" w14:textId="77777777" w:rsidR="00935F78" w:rsidRPr="00872352" w:rsidRDefault="00935F78" w:rsidP="00B03D63">
            <w:pPr>
              <w:rPr>
                <w:rFonts w:asciiTheme="minorHAnsi" w:hAnsiTheme="minorHAnsi" w:cs="Arial"/>
                <w:i/>
                <w:sz w:val="22"/>
                <w:szCs w:val="22"/>
              </w:rPr>
            </w:pPr>
          </w:p>
        </w:tc>
        <w:tc>
          <w:tcPr>
            <w:tcW w:w="1843" w:type="dxa"/>
            <w:shd w:val="clear" w:color="auto" w:fill="auto"/>
          </w:tcPr>
          <w:p w14:paraId="3D5EF53C" w14:textId="7DACFC1E" w:rsidR="00935F78" w:rsidRPr="00872352" w:rsidRDefault="008112EB" w:rsidP="00B03D63">
            <w:pPr>
              <w:rPr>
                <w:rFonts w:asciiTheme="minorHAnsi" w:hAnsiTheme="minorHAnsi" w:cs="Arial"/>
                <w:i/>
                <w:sz w:val="22"/>
                <w:szCs w:val="22"/>
              </w:rPr>
            </w:pPr>
            <w:r>
              <w:rPr>
                <w:rFonts w:asciiTheme="minorHAnsi" w:hAnsiTheme="minorHAnsi" w:cs="Arial"/>
                <w:i/>
                <w:sz w:val="22"/>
                <w:szCs w:val="22"/>
              </w:rPr>
              <w:t>4</w:t>
            </w:r>
          </w:p>
        </w:tc>
        <w:tc>
          <w:tcPr>
            <w:tcW w:w="1890" w:type="dxa"/>
            <w:shd w:val="clear" w:color="auto" w:fill="auto"/>
          </w:tcPr>
          <w:p w14:paraId="3D5EF53D" w14:textId="7331488B" w:rsidR="00935F78" w:rsidRPr="00872352" w:rsidRDefault="008112EB" w:rsidP="00B03D63">
            <w:pPr>
              <w:rPr>
                <w:rFonts w:asciiTheme="minorHAnsi" w:hAnsiTheme="minorHAnsi" w:cs="Arial"/>
                <w:i/>
                <w:sz w:val="22"/>
                <w:szCs w:val="22"/>
              </w:rPr>
            </w:pPr>
            <w:r>
              <w:rPr>
                <w:rFonts w:asciiTheme="minorHAnsi" w:hAnsiTheme="minorHAnsi" w:cs="Arial"/>
                <w:i/>
                <w:sz w:val="22"/>
                <w:szCs w:val="22"/>
              </w:rPr>
              <w:t>11, 14</w:t>
            </w:r>
          </w:p>
        </w:tc>
      </w:tr>
      <w:tr w:rsidR="00935F78" w:rsidRPr="00935F78" w14:paraId="3D5EF548" w14:textId="77777777" w:rsidTr="009F3A5F">
        <w:tc>
          <w:tcPr>
            <w:tcW w:w="1008" w:type="dxa"/>
            <w:shd w:val="clear" w:color="auto" w:fill="auto"/>
          </w:tcPr>
          <w:p w14:paraId="3D5EF53F" w14:textId="77777777" w:rsidR="00935F78" w:rsidRPr="00935F78" w:rsidRDefault="00935F78" w:rsidP="00B03D63">
            <w:pPr>
              <w:rPr>
                <w:rFonts w:asciiTheme="minorHAnsi" w:hAnsiTheme="minorHAnsi" w:cs="Arial"/>
                <w:b/>
                <w:sz w:val="22"/>
                <w:szCs w:val="22"/>
              </w:rPr>
            </w:pPr>
            <w:r w:rsidRPr="00935F78">
              <w:rPr>
                <w:rFonts w:asciiTheme="minorHAnsi" w:hAnsiTheme="minorHAnsi" w:cs="Arial"/>
                <w:b/>
                <w:sz w:val="22"/>
                <w:szCs w:val="22"/>
              </w:rPr>
              <w:t>Post 16</w:t>
            </w:r>
          </w:p>
          <w:p w14:paraId="3D5EF540" w14:textId="77777777" w:rsidR="00935F78" w:rsidRPr="00935F78" w:rsidRDefault="00935F78" w:rsidP="00B03D63">
            <w:pPr>
              <w:rPr>
                <w:rFonts w:asciiTheme="minorHAnsi" w:hAnsiTheme="minorHAnsi" w:cs="Arial"/>
                <w:b/>
                <w:sz w:val="22"/>
                <w:szCs w:val="22"/>
              </w:rPr>
            </w:pPr>
          </w:p>
          <w:p w14:paraId="3D5EF541" w14:textId="77777777" w:rsidR="00935F78" w:rsidRPr="00935F78" w:rsidRDefault="00935F78" w:rsidP="00B03D63">
            <w:pPr>
              <w:rPr>
                <w:rFonts w:asciiTheme="minorHAnsi" w:hAnsiTheme="minorHAnsi" w:cs="Arial"/>
                <w:b/>
                <w:sz w:val="22"/>
                <w:szCs w:val="22"/>
              </w:rPr>
            </w:pPr>
          </w:p>
          <w:p w14:paraId="3D5EF542" w14:textId="77777777" w:rsidR="00935F78" w:rsidRPr="00935F78" w:rsidRDefault="00935F78" w:rsidP="00B03D63">
            <w:pPr>
              <w:rPr>
                <w:rFonts w:asciiTheme="minorHAnsi" w:hAnsiTheme="minorHAnsi" w:cs="Arial"/>
                <w:b/>
                <w:sz w:val="22"/>
                <w:szCs w:val="22"/>
              </w:rPr>
            </w:pPr>
          </w:p>
        </w:tc>
        <w:tc>
          <w:tcPr>
            <w:tcW w:w="3807" w:type="dxa"/>
            <w:shd w:val="clear" w:color="auto" w:fill="auto"/>
          </w:tcPr>
          <w:p w14:paraId="67042E8B" w14:textId="77777777" w:rsidR="00935F78" w:rsidRDefault="00055C74" w:rsidP="00B03D63">
            <w:pPr>
              <w:rPr>
                <w:rFonts w:asciiTheme="minorHAnsi" w:hAnsiTheme="minorHAnsi" w:cs="Arial"/>
                <w:sz w:val="22"/>
                <w:szCs w:val="22"/>
              </w:rPr>
            </w:pPr>
            <w:r>
              <w:rPr>
                <w:rFonts w:asciiTheme="minorHAnsi" w:hAnsiTheme="minorHAnsi" w:cs="Arial"/>
                <w:sz w:val="22"/>
                <w:szCs w:val="22"/>
              </w:rPr>
              <w:t>Planned work experience discussions.</w:t>
            </w:r>
          </w:p>
          <w:p w14:paraId="45503066" w14:textId="77777777" w:rsidR="00055C74" w:rsidRDefault="00055C74" w:rsidP="00B03D63">
            <w:pPr>
              <w:rPr>
                <w:rFonts w:asciiTheme="minorHAnsi" w:hAnsiTheme="minorHAnsi" w:cs="Arial"/>
                <w:sz w:val="22"/>
                <w:szCs w:val="22"/>
              </w:rPr>
            </w:pPr>
          </w:p>
          <w:p w14:paraId="3D5EF543" w14:textId="3D96F822" w:rsidR="00055C74" w:rsidRPr="00935F78" w:rsidRDefault="00055C74" w:rsidP="00B03D63">
            <w:pPr>
              <w:rPr>
                <w:rFonts w:asciiTheme="minorHAnsi" w:hAnsiTheme="minorHAnsi" w:cs="Arial"/>
                <w:sz w:val="22"/>
                <w:szCs w:val="22"/>
              </w:rPr>
            </w:pPr>
            <w:r>
              <w:rPr>
                <w:rFonts w:asciiTheme="minorHAnsi" w:hAnsiTheme="minorHAnsi" w:cs="Arial"/>
                <w:sz w:val="22"/>
                <w:szCs w:val="22"/>
              </w:rPr>
              <w:t>Town planning topic explored various job opportunities and job routes.</w:t>
            </w:r>
          </w:p>
        </w:tc>
        <w:tc>
          <w:tcPr>
            <w:tcW w:w="4536" w:type="dxa"/>
            <w:shd w:val="clear" w:color="auto" w:fill="auto"/>
          </w:tcPr>
          <w:p w14:paraId="3D5EF544" w14:textId="6D6B3994" w:rsidR="00935F78" w:rsidRPr="00935F78" w:rsidRDefault="00055C74" w:rsidP="00B03D63">
            <w:pPr>
              <w:rPr>
                <w:rFonts w:asciiTheme="minorHAnsi" w:hAnsiTheme="minorHAnsi" w:cs="Arial"/>
                <w:sz w:val="22"/>
                <w:szCs w:val="22"/>
              </w:rPr>
            </w:pPr>
            <w:r>
              <w:rPr>
                <w:rFonts w:asciiTheme="minorHAnsi" w:hAnsiTheme="minorHAnsi" w:cs="Arial"/>
                <w:sz w:val="22"/>
                <w:szCs w:val="22"/>
              </w:rPr>
              <w:t>Group work to discuss key skills and employability skills for jobs linked with geography. Planned discussions of work experience within the geography field and contacts given to students.</w:t>
            </w:r>
          </w:p>
        </w:tc>
        <w:tc>
          <w:tcPr>
            <w:tcW w:w="2268" w:type="dxa"/>
            <w:shd w:val="clear" w:color="auto" w:fill="auto"/>
          </w:tcPr>
          <w:p w14:paraId="3D5EF545" w14:textId="77777777" w:rsidR="00935F78" w:rsidRPr="00935F78" w:rsidRDefault="00935F78" w:rsidP="00B03D63">
            <w:pPr>
              <w:rPr>
                <w:rFonts w:asciiTheme="minorHAnsi" w:hAnsiTheme="minorHAnsi" w:cs="Arial"/>
                <w:sz w:val="22"/>
                <w:szCs w:val="22"/>
              </w:rPr>
            </w:pPr>
          </w:p>
        </w:tc>
        <w:tc>
          <w:tcPr>
            <w:tcW w:w="1843" w:type="dxa"/>
            <w:shd w:val="clear" w:color="auto" w:fill="auto"/>
          </w:tcPr>
          <w:p w14:paraId="3D5EF546" w14:textId="32B229CE" w:rsidR="00935F78" w:rsidRPr="00935F78" w:rsidRDefault="008112EB" w:rsidP="00B03D63">
            <w:pPr>
              <w:rPr>
                <w:rFonts w:asciiTheme="minorHAnsi" w:hAnsiTheme="minorHAnsi" w:cs="Arial"/>
                <w:sz w:val="22"/>
                <w:szCs w:val="22"/>
              </w:rPr>
            </w:pPr>
            <w:r>
              <w:rPr>
                <w:rFonts w:asciiTheme="minorHAnsi" w:hAnsiTheme="minorHAnsi" w:cs="Arial"/>
                <w:sz w:val="22"/>
                <w:szCs w:val="22"/>
              </w:rPr>
              <w:t>4, 6</w:t>
            </w:r>
          </w:p>
        </w:tc>
        <w:tc>
          <w:tcPr>
            <w:tcW w:w="1890" w:type="dxa"/>
            <w:shd w:val="clear" w:color="auto" w:fill="auto"/>
          </w:tcPr>
          <w:p w14:paraId="3D5EF547" w14:textId="1726C7DF" w:rsidR="00935F78" w:rsidRPr="00935F78" w:rsidRDefault="008112EB" w:rsidP="00B03D63">
            <w:pPr>
              <w:rPr>
                <w:rFonts w:asciiTheme="minorHAnsi" w:hAnsiTheme="minorHAnsi" w:cs="Arial"/>
                <w:sz w:val="22"/>
                <w:szCs w:val="22"/>
              </w:rPr>
            </w:pPr>
            <w:r>
              <w:rPr>
                <w:rFonts w:asciiTheme="minorHAnsi" w:hAnsiTheme="minorHAnsi" w:cs="Arial"/>
                <w:sz w:val="22"/>
                <w:szCs w:val="22"/>
              </w:rPr>
              <w:t>11, 17</w:t>
            </w:r>
          </w:p>
        </w:tc>
      </w:tr>
    </w:tbl>
    <w:p w14:paraId="04002455" w14:textId="77777777" w:rsidR="00055C74" w:rsidRDefault="00055C74" w:rsidP="00C64386">
      <w:pPr>
        <w:rPr>
          <w:rFonts w:asciiTheme="minorHAnsi" w:hAnsiTheme="minorHAnsi"/>
          <w:noProof/>
          <w:sz w:val="22"/>
          <w:szCs w:val="22"/>
        </w:rPr>
      </w:pPr>
    </w:p>
    <w:p w14:paraId="54A588DC" w14:textId="77777777" w:rsidR="00055C74" w:rsidRDefault="00055C74" w:rsidP="00C64386">
      <w:pPr>
        <w:rPr>
          <w:rFonts w:asciiTheme="minorHAnsi" w:hAnsiTheme="minorHAnsi"/>
          <w:noProof/>
          <w:sz w:val="22"/>
          <w:szCs w:val="22"/>
        </w:rPr>
      </w:pPr>
    </w:p>
    <w:p w14:paraId="6BC1992C" w14:textId="77777777" w:rsidR="00055C74" w:rsidRDefault="00055C74" w:rsidP="00C64386">
      <w:pPr>
        <w:rPr>
          <w:rFonts w:asciiTheme="minorHAnsi" w:hAnsiTheme="minorHAnsi"/>
          <w:noProof/>
          <w:sz w:val="22"/>
          <w:szCs w:val="22"/>
        </w:rPr>
      </w:pPr>
    </w:p>
    <w:p w14:paraId="3D5EF549" w14:textId="6D803D6E" w:rsidR="00C64386" w:rsidRPr="00935F78" w:rsidRDefault="00B75F66" w:rsidP="00C64386">
      <w:pPr>
        <w:rPr>
          <w:rFonts w:asciiTheme="minorHAnsi" w:hAnsiTheme="minorHAnsi"/>
          <w:noProof/>
          <w:sz w:val="22"/>
          <w:szCs w:val="22"/>
        </w:rPr>
      </w:pPr>
      <w:r w:rsidRPr="00935F78">
        <w:rPr>
          <w:rFonts w:asciiTheme="minorHAnsi" w:hAnsiTheme="minorHAnsi"/>
          <w:noProof/>
          <w:sz w:val="22"/>
          <w:szCs w:val="22"/>
        </w:rPr>
        <mc:AlternateContent>
          <mc:Choice Requires="wps">
            <w:drawing>
              <wp:anchor distT="0" distB="0" distL="114300" distR="114300" simplePos="0" relativeHeight="251661312" behindDoc="0" locked="0" layoutInCell="1" allowOverlap="1" wp14:anchorId="3D5EF58A" wp14:editId="4CB1E10C">
                <wp:simplePos x="0" y="0"/>
                <wp:positionH relativeFrom="column">
                  <wp:posOffset>1869498</wp:posOffset>
                </wp:positionH>
                <wp:positionV relativeFrom="paragraph">
                  <wp:posOffset>117937</wp:posOffset>
                </wp:positionV>
                <wp:extent cx="7839075" cy="636270"/>
                <wp:effectExtent l="0" t="635" r="254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075"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EF595" w14:textId="77777777" w:rsidR="00C64386" w:rsidRPr="0084765B" w:rsidRDefault="00C64386" w:rsidP="00C64386">
                            <w:pPr>
                              <w:jc w:val="right"/>
                              <w:rPr>
                                <w:rFonts w:ascii="Arial" w:hAnsi="Arial" w:cs="Arial"/>
                                <w:b/>
                                <w:sz w:val="36"/>
                                <w:szCs w:val="36"/>
                              </w:rPr>
                            </w:pPr>
                            <w:r w:rsidRPr="0084765B">
                              <w:rPr>
                                <w:rFonts w:ascii="Arial" w:hAnsi="Arial" w:cs="Arial"/>
                                <w:b/>
                                <w:sz w:val="36"/>
                                <w:szCs w:val="36"/>
                              </w:rPr>
                              <w:t>Ca</w:t>
                            </w:r>
                            <w:r>
                              <w:rPr>
                                <w:rFonts w:ascii="Arial" w:hAnsi="Arial" w:cs="Arial"/>
                                <w:b/>
                                <w:sz w:val="36"/>
                                <w:szCs w:val="36"/>
                              </w:rPr>
                              <w:t>reers, Employability and Enterprise</w:t>
                            </w:r>
                            <w:r w:rsidRPr="0084765B">
                              <w:rPr>
                                <w:rFonts w:ascii="Arial" w:hAnsi="Arial" w:cs="Arial"/>
                                <w:b/>
                                <w:sz w:val="36"/>
                                <w:szCs w:val="36"/>
                              </w:rPr>
                              <w:t xml:space="preserve"> Audit across the Curriculum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5EF58A" id="Text Box 6" o:spid="_x0000_s1027" type="#_x0000_t202" style="position:absolute;margin-left:147.2pt;margin-top:9.3pt;width:617.25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" filled="f" stroked="f">
                <v:textbox>
                  <w:txbxContent>
                    <w:p w14:paraId="3D5EF595" w14:textId="77777777" w:rsidR="00C64386" w:rsidRPr="0084765B" w:rsidRDefault="00C64386" w:rsidP="00C64386">
                      <w:pPr>
                        <w:jc w:val="right"/>
                        <w:rPr>
                          <w:rFonts w:ascii="Arial" w:hAnsi="Arial" w:cs="Arial"/>
                          <w:b/>
                          <w:sz w:val="36"/>
                          <w:szCs w:val="36"/>
                        </w:rPr>
                      </w:pPr>
                      <w:r w:rsidRPr="0084765B">
                        <w:rPr>
                          <w:rFonts w:ascii="Arial" w:hAnsi="Arial" w:cs="Arial"/>
                          <w:b/>
                          <w:sz w:val="36"/>
                          <w:szCs w:val="36"/>
                        </w:rPr>
                        <w:t>Ca</w:t>
                      </w:r>
                      <w:r>
                        <w:rPr>
                          <w:rFonts w:ascii="Arial" w:hAnsi="Arial" w:cs="Arial"/>
                          <w:b/>
                          <w:sz w:val="36"/>
                          <w:szCs w:val="36"/>
                        </w:rPr>
                        <w:t>reers, Employability and Enterprise</w:t>
                      </w:r>
                      <w:r w:rsidRPr="0084765B">
                        <w:rPr>
                          <w:rFonts w:ascii="Arial" w:hAnsi="Arial" w:cs="Arial"/>
                          <w:b/>
                          <w:sz w:val="36"/>
                          <w:szCs w:val="36"/>
                        </w:rPr>
                        <w:t xml:space="preserve"> Audit across the Curriculum</w:t>
                      </w:r>
                    </w:p>
                  </w:txbxContent>
                </v:textbox>
              </v:shape>
            </w:pict>
          </mc:Fallback>
        </mc:AlternateContent>
      </w:r>
      <w:r w:rsidR="00A51F81" w:rsidRPr="00C203F4">
        <w:rPr>
          <w:b/>
          <w:noProof/>
          <w:sz w:val="32"/>
        </w:rPr>
        <w:drawing>
          <wp:anchor distT="0" distB="0" distL="114300" distR="114300" simplePos="0" relativeHeight="251665408" behindDoc="0" locked="0" layoutInCell="1" allowOverlap="1" wp14:anchorId="1A5E3F16" wp14:editId="5FA50B90">
            <wp:simplePos x="0" y="0"/>
            <wp:positionH relativeFrom="margin">
              <wp:posOffset>1104900</wp:posOffset>
            </wp:positionH>
            <wp:positionV relativeFrom="paragraph">
              <wp:posOffset>-124460</wp:posOffset>
            </wp:positionV>
            <wp:extent cx="784860" cy="716839"/>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l="19942" t="19823" r="34689" b="6509"/>
                    <a:stretch>
                      <a:fillRect/>
                    </a:stretch>
                  </pic:blipFill>
                  <pic:spPr bwMode="auto">
                    <a:xfrm>
                      <a:off x="0" y="0"/>
                      <a:ext cx="784860" cy="716839"/>
                    </a:xfrm>
                    <a:prstGeom prst="rect">
                      <a:avLst/>
                    </a:prstGeom>
                    <a:noFill/>
                    <a:ln>
                      <a:noFill/>
                    </a:ln>
                  </pic:spPr>
                </pic:pic>
              </a:graphicData>
            </a:graphic>
            <wp14:sizeRelH relativeFrom="page">
              <wp14:pctWidth>0</wp14:pctWidth>
            </wp14:sizeRelH>
            <wp14:sizeRelV relativeFrom="page">
              <wp14:pctHeight>0</wp14:pctHeight>
            </wp14:sizeRelV>
          </wp:anchor>
        </w:drawing>
      </w:r>
      <w:r w:rsidR="00C64386" w:rsidRPr="00935F78">
        <w:rPr>
          <w:rFonts w:asciiTheme="minorHAnsi" w:hAnsiTheme="minorHAnsi"/>
          <w:noProof/>
          <w:sz w:val="22"/>
          <w:szCs w:val="22"/>
        </w:rPr>
        <w:drawing>
          <wp:inline distT="0" distB="0" distL="0" distR="0" wp14:anchorId="3D5EF588" wp14:editId="14228FA8">
            <wp:extent cx="914400" cy="493577"/>
            <wp:effectExtent l="0" t="0" r="0" b="1905"/>
            <wp:docPr id="7" name="Picture 4" descr="CD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DI Logo.jpg"/>
                    <pic:cNvPicPr>
                      <a:picLocks noChangeAspect="1"/>
                    </pic:cNvPicPr>
                  </pic:nvPicPr>
                  <pic:blipFill>
                    <a:blip r:embed="rId8" cstate="print"/>
                    <a:stretch>
                      <a:fillRect/>
                    </a:stretch>
                  </pic:blipFill>
                  <pic:spPr>
                    <a:xfrm>
                      <a:off x="0" y="0"/>
                      <a:ext cx="955252" cy="515628"/>
                    </a:xfrm>
                    <a:prstGeom prst="rect">
                      <a:avLst/>
                    </a:prstGeom>
                  </pic:spPr>
                </pic:pic>
              </a:graphicData>
            </a:graphic>
          </wp:inline>
        </w:drawing>
      </w:r>
    </w:p>
    <w:p w14:paraId="3D5EF54A" w14:textId="14994076" w:rsidR="00935F78" w:rsidRPr="00126E8D" w:rsidRDefault="00935F78" w:rsidP="00935F78">
      <w:pPr>
        <w:rPr>
          <w:rFonts w:asciiTheme="minorHAnsi" w:hAnsiTheme="minorHAnsi" w:cstheme="minorHAnsi"/>
          <w:sz w:val="22"/>
          <w:szCs w:val="22"/>
        </w:rPr>
      </w:pPr>
    </w:p>
    <w:p w14:paraId="4DF89E9F" w14:textId="5CDE65E2" w:rsidR="00C31817" w:rsidRPr="00126E8D" w:rsidRDefault="00C31817" w:rsidP="00C31817">
      <w:pPr>
        <w:rPr>
          <w:rFonts w:asciiTheme="minorHAnsi" w:hAnsiTheme="minorHAnsi" w:cstheme="minorHAnsi"/>
          <w:color w:val="000000"/>
          <w:sz w:val="22"/>
          <w:szCs w:val="22"/>
        </w:rPr>
      </w:pPr>
      <w:r w:rsidRPr="00126E8D">
        <w:rPr>
          <w:rFonts w:asciiTheme="minorHAnsi" w:hAnsiTheme="minorHAnsi" w:cstheme="minorHAnsi"/>
          <w:color w:val="000000"/>
          <w:sz w:val="22"/>
          <w:szCs w:val="22"/>
        </w:rPr>
        <w:lastRenderedPageBreak/>
        <w:t>The framework presents learning outcome statements for pupils and students across seventeen important areas of careers, employability and enterprise learning. These statements show progression from Key Stage 2 through to post-16 education.</w:t>
      </w:r>
    </w:p>
    <w:p w14:paraId="55EA12ED" w14:textId="77777777" w:rsidR="00C31817" w:rsidRPr="00126E8D" w:rsidRDefault="00C31817" w:rsidP="00C31817">
      <w:pPr>
        <w:rPr>
          <w:rFonts w:asciiTheme="minorHAnsi" w:hAnsiTheme="minorHAnsi" w:cstheme="minorHAnsi"/>
          <w:b/>
          <w:sz w:val="22"/>
          <w:szCs w:val="22"/>
        </w:rPr>
      </w:pPr>
    </w:p>
    <w:p w14:paraId="0FE4EDC9" w14:textId="77777777" w:rsidR="00C31817" w:rsidRPr="00126E8D" w:rsidRDefault="00C31817" w:rsidP="00C31817">
      <w:pPr>
        <w:rPr>
          <w:rFonts w:asciiTheme="minorHAnsi" w:hAnsiTheme="minorHAnsi" w:cstheme="minorHAnsi"/>
          <w:b/>
          <w:sz w:val="22"/>
          <w:szCs w:val="22"/>
        </w:rPr>
      </w:pPr>
      <w:r w:rsidRPr="00126E8D">
        <w:rPr>
          <w:rFonts w:asciiTheme="minorHAnsi" w:hAnsiTheme="minorHAnsi" w:cstheme="minorHAnsi"/>
          <w:b/>
          <w:sz w:val="22"/>
          <w:szCs w:val="22"/>
        </w:rPr>
        <w:t>Three core elements of Careers, Employability and Enterprise:</w:t>
      </w:r>
    </w:p>
    <w:tbl>
      <w:tblPr>
        <w:tblStyle w:val="TableGrid"/>
        <w:tblW w:w="0" w:type="auto"/>
        <w:tblLook w:val="04A0" w:firstRow="1" w:lastRow="0" w:firstColumn="1" w:lastColumn="0" w:noHBand="0" w:noVBand="1"/>
      </w:tblPr>
      <w:tblGrid>
        <w:gridCol w:w="5023"/>
        <w:gridCol w:w="5023"/>
        <w:gridCol w:w="5024"/>
      </w:tblGrid>
      <w:tr w:rsidR="00C31817" w:rsidRPr="00126E8D" w14:paraId="1210F419" w14:textId="77777777" w:rsidTr="00B25BDE">
        <w:tc>
          <w:tcPr>
            <w:tcW w:w="5023" w:type="dxa"/>
          </w:tcPr>
          <w:p w14:paraId="5C82E9C5" w14:textId="77777777" w:rsidR="00C31817" w:rsidRPr="00126E8D" w:rsidRDefault="00C31817" w:rsidP="00B25BDE">
            <w:pPr>
              <w:rPr>
                <w:rFonts w:asciiTheme="minorHAnsi" w:hAnsiTheme="minorHAnsi" w:cstheme="minorHAnsi"/>
                <w:b/>
                <w:color w:val="000000"/>
                <w:sz w:val="22"/>
                <w:szCs w:val="22"/>
              </w:rPr>
            </w:pPr>
            <w:r w:rsidRPr="00126E8D">
              <w:rPr>
                <w:rFonts w:asciiTheme="minorHAnsi" w:hAnsiTheme="minorHAnsi" w:cstheme="minorHAnsi"/>
                <w:b/>
                <w:color w:val="000000"/>
                <w:sz w:val="22"/>
                <w:szCs w:val="22"/>
              </w:rPr>
              <w:t>Developing yourself through careers, employability and enterprise education</w:t>
            </w:r>
          </w:p>
          <w:p w14:paraId="254F1BC9" w14:textId="77777777" w:rsidR="00C31817" w:rsidRPr="00126E8D" w:rsidRDefault="00C31817" w:rsidP="00B25BDE">
            <w:pPr>
              <w:rPr>
                <w:rFonts w:asciiTheme="minorHAnsi" w:hAnsiTheme="minorHAnsi" w:cstheme="minorHAnsi"/>
                <w:sz w:val="22"/>
                <w:szCs w:val="22"/>
              </w:rPr>
            </w:pPr>
          </w:p>
        </w:tc>
        <w:tc>
          <w:tcPr>
            <w:tcW w:w="5023" w:type="dxa"/>
          </w:tcPr>
          <w:p w14:paraId="66E9B31A" w14:textId="77777777" w:rsidR="00C31817" w:rsidRPr="00126E8D" w:rsidRDefault="00C31817" w:rsidP="00B25BDE">
            <w:pPr>
              <w:rPr>
                <w:rFonts w:asciiTheme="minorHAnsi" w:hAnsiTheme="minorHAnsi" w:cstheme="minorHAnsi"/>
                <w:b/>
                <w:color w:val="000000"/>
                <w:sz w:val="22"/>
                <w:szCs w:val="22"/>
              </w:rPr>
            </w:pPr>
            <w:r w:rsidRPr="00126E8D">
              <w:rPr>
                <w:rFonts w:asciiTheme="minorHAnsi" w:hAnsiTheme="minorHAnsi" w:cstheme="minorHAnsi"/>
                <w:b/>
                <w:color w:val="000000"/>
                <w:sz w:val="22"/>
                <w:szCs w:val="22"/>
              </w:rPr>
              <w:t>Learning about careers and the world of work</w:t>
            </w:r>
          </w:p>
          <w:p w14:paraId="2E88D86B" w14:textId="77777777" w:rsidR="00C31817" w:rsidRPr="00126E8D" w:rsidRDefault="00C31817" w:rsidP="00B25BDE">
            <w:pPr>
              <w:rPr>
                <w:rFonts w:asciiTheme="minorHAnsi" w:hAnsiTheme="minorHAnsi" w:cstheme="minorHAnsi"/>
                <w:sz w:val="22"/>
                <w:szCs w:val="22"/>
              </w:rPr>
            </w:pPr>
          </w:p>
        </w:tc>
        <w:tc>
          <w:tcPr>
            <w:tcW w:w="5024" w:type="dxa"/>
          </w:tcPr>
          <w:p w14:paraId="52E350E5" w14:textId="77777777" w:rsidR="00C31817" w:rsidRPr="00126E8D" w:rsidRDefault="00C31817" w:rsidP="00B25BDE">
            <w:pPr>
              <w:rPr>
                <w:rFonts w:asciiTheme="minorHAnsi" w:hAnsiTheme="minorHAnsi" w:cstheme="minorHAnsi"/>
                <w:b/>
                <w:color w:val="000000"/>
                <w:sz w:val="22"/>
                <w:szCs w:val="22"/>
              </w:rPr>
            </w:pPr>
            <w:r w:rsidRPr="00126E8D">
              <w:rPr>
                <w:rFonts w:asciiTheme="minorHAnsi" w:hAnsiTheme="minorHAnsi" w:cstheme="minorHAnsi"/>
                <w:b/>
                <w:color w:val="000000"/>
                <w:sz w:val="22"/>
                <w:szCs w:val="22"/>
              </w:rPr>
              <w:t>Developing your career management and employability skills</w:t>
            </w:r>
          </w:p>
          <w:p w14:paraId="75A33ABA" w14:textId="77777777" w:rsidR="00C31817" w:rsidRPr="00126E8D" w:rsidRDefault="00C31817" w:rsidP="00B25BDE">
            <w:pPr>
              <w:rPr>
                <w:rFonts w:asciiTheme="minorHAnsi" w:hAnsiTheme="minorHAnsi" w:cstheme="minorHAnsi"/>
                <w:sz w:val="22"/>
                <w:szCs w:val="22"/>
              </w:rPr>
            </w:pPr>
          </w:p>
        </w:tc>
      </w:tr>
      <w:tr w:rsidR="00C31817" w14:paraId="59C55E47" w14:textId="77777777" w:rsidTr="00B25BDE">
        <w:tc>
          <w:tcPr>
            <w:tcW w:w="5023" w:type="dxa"/>
          </w:tcPr>
          <w:p w14:paraId="2F7126BE" w14:textId="77777777" w:rsidR="00C31817" w:rsidRPr="005D0807" w:rsidRDefault="00C31817" w:rsidP="00C31817">
            <w:pPr>
              <w:pStyle w:val="ListParagraph"/>
              <w:numPr>
                <w:ilvl w:val="0"/>
                <w:numId w:val="8"/>
              </w:numPr>
              <w:spacing w:after="0" w:line="240" w:lineRule="auto"/>
            </w:pPr>
            <w:r w:rsidRPr="005D0807">
              <w:t>Self-awareness</w:t>
            </w:r>
          </w:p>
          <w:p w14:paraId="22E821B0" w14:textId="77777777" w:rsidR="00C31817" w:rsidRPr="005D0807" w:rsidRDefault="00C31817" w:rsidP="00C31817">
            <w:pPr>
              <w:pStyle w:val="ListParagraph"/>
              <w:numPr>
                <w:ilvl w:val="0"/>
                <w:numId w:val="8"/>
              </w:numPr>
              <w:spacing w:after="0" w:line="240" w:lineRule="auto"/>
            </w:pPr>
            <w:r w:rsidRPr="005D0807">
              <w:t>Self-determination</w:t>
            </w:r>
          </w:p>
          <w:p w14:paraId="3E612E89" w14:textId="77777777" w:rsidR="00C31817" w:rsidRPr="005D0807" w:rsidRDefault="00C31817" w:rsidP="00C31817">
            <w:pPr>
              <w:pStyle w:val="ListParagraph"/>
              <w:numPr>
                <w:ilvl w:val="0"/>
                <w:numId w:val="8"/>
              </w:numPr>
              <w:spacing w:after="0" w:line="240" w:lineRule="auto"/>
            </w:pPr>
            <w:r w:rsidRPr="005D0807">
              <w:t>Self-improvement as a learner</w:t>
            </w:r>
          </w:p>
          <w:p w14:paraId="31431031" w14:textId="77777777" w:rsidR="00C31817" w:rsidRDefault="00C31817" w:rsidP="00B25BDE"/>
        </w:tc>
        <w:tc>
          <w:tcPr>
            <w:tcW w:w="5023" w:type="dxa"/>
          </w:tcPr>
          <w:p w14:paraId="74D0FA25" w14:textId="77777777" w:rsidR="00C31817" w:rsidRPr="005D0807" w:rsidRDefault="00C31817" w:rsidP="00C31817">
            <w:pPr>
              <w:pStyle w:val="ListParagraph"/>
              <w:numPr>
                <w:ilvl w:val="0"/>
                <w:numId w:val="8"/>
              </w:numPr>
              <w:spacing w:after="0" w:line="240" w:lineRule="auto"/>
            </w:pPr>
            <w:r w:rsidRPr="005D0807">
              <w:t>Exploring careers and career development</w:t>
            </w:r>
          </w:p>
          <w:p w14:paraId="10194F30" w14:textId="77777777" w:rsidR="00C31817" w:rsidRPr="005D0807" w:rsidRDefault="00C31817" w:rsidP="00C31817">
            <w:pPr>
              <w:pStyle w:val="ListParagraph"/>
              <w:numPr>
                <w:ilvl w:val="0"/>
                <w:numId w:val="8"/>
              </w:numPr>
              <w:spacing w:after="0" w:line="240" w:lineRule="auto"/>
            </w:pPr>
            <w:r w:rsidRPr="005D0807">
              <w:t>Investigating work and working life</w:t>
            </w:r>
          </w:p>
          <w:p w14:paraId="35FF8DB9" w14:textId="77777777" w:rsidR="00C31817" w:rsidRPr="005D0807" w:rsidRDefault="00C31817" w:rsidP="00C31817">
            <w:pPr>
              <w:pStyle w:val="ListParagraph"/>
              <w:numPr>
                <w:ilvl w:val="0"/>
                <w:numId w:val="8"/>
              </w:numPr>
              <w:spacing w:after="0" w:line="240" w:lineRule="auto"/>
            </w:pPr>
            <w:r w:rsidRPr="005D0807">
              <w:t>Understanding business and industry</w:t>
            </w:r>
          </w:p>
          <w:p w14:paraId="27ECCF45" w14:textId="77777777" w:rsidR="00C31817" w:rsidRPr="005D0807" w:rsidRDefault="00C31817" w:rsidP="00C31817">
            <w:pPr>
              <w:pStyle w:val="ListParagraph"/>
              <w:numPr>
                <w:ilvl w:val="0"/>
                <w:numId w:val="8"/>
              </w:numPr>
              <w:spacing w:after="0" w:line="240" w:lineRule="auto"/>
            </w:pPr>
            <w:r w:rsidRPr="005D0807">
              <w:t>Investigating jobs and labour market information (LMI)</w:t>
            </w:r>
          </w:p>
          <w:p w14:paraId="42D85478" w14:textId="77777777" w:rsidR="00C31817" w:rsidRPr="005D0807" w:rsidRDefault="00C31817" w:rsidP="00C31817">
            <w:pPr>
              <w:pStyle w:val="ListParagraph"/>
              <w:numPr>
                <w:ilvl w:val="0"/>
                <w:numId w:val="8"/>
              </w:numPr>
              <w:spacing w:after="0" w:line="240" w:lineRule="auto"/>
            </w:pPr>
            <w:r w:rsidRPr="005D0807">
              <w:t>Valuing equality, diversity and inclusion</w:t>
            </w:r>
          </w:p>
          <w:p w14:paraId="002D6799" w14:textId="77777777" w:rsidR="00C31817" w:rsidRPr="005D0807" w:rsidRDefault="00C31817" w:rsidP="00C31817">
            <w:pPr>
              <w:pStyle w:val="ListParagraph"/>
              <w:numPr>
                <w:ilvl w:val="0"/>
                <w:numId w:val="8"/>
              </w:numPr>
              <w:spacing w:after="0" w:line="240" w:lineRule="auto"/>
            </w:pPr>
            <w:r w:rsidRPr="005D0807">
              <w:t>Learning about safe working practices and environments</w:t>
            </w:r>
          </w:p>
          <w:p w14:paraId="68EC108D" w14:textId="77777777" w:rsidR="00C31817" w:rsidRDefault="00C31817" w:rsidP="00B25BDE"/>
        </w:tc>
        <w:tc>
          <w:tcPr>
            <w:tcW w:w="5024" w:type="dxa"/>
          </w:tcPr>
          <w:p w14:paraId="4343E55D" w14:textId="77777777" w:rsidR="00C31817" w:rsidRPr="005D0807" w:rsidRDefault="00C31817" w:rsidP="00C31817">
            <w:pPr>
              <w:pStyle w:val="ListParagraph"/>
              <w:numPr>
                <w:ilvl w:val="0"/>
                <w:numId w:val="8"/>
              </w:numPr>
              <w:spacing w:after="0" w:line="240" w:lineRule="auto"/>
            </w:pPr>
            <w:r w:rsidRPr="005D0807">
              <w:t>Making the most of careers information, advice and guidance</w:t>
            </w:r>
          </w:p>
          <w:p w14:paraId="1EC2F77B" w14:textId="77777777" w:rsidR="00C31817" w:rsidRPr="005D0807" w:rsidRDefault="00C31817" w:rsidP="00C31817">
            <w:pPr>
              <w:pStyle w:val="ListParagraph"/>
              <w:numPr>
                <w:ilvl w:val="0"/>
                <w:numId w:val="8"/>
              </w:numPr>
              <w:spacing w:after="0" w:line="240" w:lineRule="auto"/>
            </w:pPr>
            <w:r w:rsidRPr="005D0807">
              <w:t>Preparing for employability</w:t>
            </w:r>
          </w:p>
          <w:p w14:paraId="389CE33B" w14:textId="77777777" w:rsidR="00C31817" w:rsidRPr="005D0807" w:rsidRDefault="00C31817" w:rsidP="00C31817">
            <w:pPr>
              <w:pStyle w:val="ListParagraph"/>
              <w:numPr>
                <w:ilvl w:val="0"/>
                <w:numId w:val="8"/>
              </w:numPr>
              <w:spacing w:after="0" w:line="240" w:lineRule="auto"/>
            </w:pPr>
            <w:r w:rsidRPr="005D0807">
              <w:t>Showing initiative and enterprise</w:t>
            </w:r>
          </w:p>
          <w:p w14:paraId="75C61517" w14:textId="77777777" w:rsidR="00C31817" w:rsidRPr="005D0807" w:rsidRDefault="00C31817" w:rsidP="00C31817">
            <w:pPr>
              <w:pStyle w:val="ListParagraph"/>
              <w:numPr>
                <w:ilvl w:val="0"/>
                <w:numId w:val="8"/>
              </w:numPr>
              <w:spacing w:after="0" w:line="240" w:lineRule="auto"/>
            </w:pPr>
            <w:r w:rsidRPr="005D0807">
              <w:t>Developing personal financial capability</w:t>
            </w:r>
          </w:p>
          <w:p w14:paraId="4B23F835" w14:textId="77777777" w:rsidR="00C31817" w:rsidRPr="005D0807" w:rsidRDefault="00C31817" w:rsidP="00C31817">
            <w:pPr>
              <w:pStyle w:val="ListParagraph"/>
              <w:numPr>
                <w:ilvl w:val="0"/>
                <w:numId w:val="8"/>
              </w:numPr>
              <w:spacing w:after="0" w:line="240" w:lineRule="auto"/>
            </w:pPr>
            <w:r w:rsidRPr="005D0807">
              <w:t>Identifying choices and opportunities</w:t>
            </w:r>
          </w:p>
          <w:p w14:paraId="3DF5F5FA" w14:textId="77777777" w:rsidR="00C31817" w:rsidRPr="005D0807" w:rsidRDefault="00C31817" w:rsidP="00C31817">
            <w:pPr>
              <w:pStyle w:val="ListParagraph"/>
              <w:numPr>
                <w:ilvl w:val="0"/>
                <w:numId w:val="8"/>
              </w:numPr>
              <w:spacing w:after="0" w:line="240" w:lineRule="auto"/>
            </w:pPr>
            <w:r w:rsidRPr="005D0807">
              <w:t>Planning and deciding</w:t>
            </w:r>
          </w:p>
          <w:p w14:paraId="1FEA40CE" w14:textId="77777777" w:rsidR="00C31817" w:rsidRPr="005D0807" w:rsidRDefault="00C31817" w:rsidP="00C31817">
            <w:pPr>
              <w:pStyle w:val="ListParagraph"/>
              <w:numPr>
                <w:ilvl w:val="0"/>
                <w:numId w:val="8"/>
              </w:numPr>
              <w:spacing w:after="0" w:line="240" w:lineRule="auto"/>
            </w:pPr>
            <w:r w:rsidRPr="005D0807">
              <w:t>Handling applications and interviews</w:t>
            </w:r>
          </w:p>
          <w:p w14:paraId="78C4CF29" w14:textId="77777777" w:rsidR="00C31817" w:rsidRPr="005D0807" w:rsidRDefault="00C31817" w:rsidP="00C31817">
            <w:pPr>
              <w:pStyle w:val="ListParagraph"/>
              <w:numPr>
                <w:ilvl w:val="0"/>
                <w:numId w:val="8"/>
              </w:numPr>
              <w:spacing w:after="0" w:line="240" w:lineRule="auto"/>
            </w:pPr>
            <w:r w:rsidRPr="005D0807">
              <w:t>Managing changes and transitions</w:t>
            </w:r>
          </w:p>
          <w:p w14:paraId="314C5E2B" w14:textId="77777777" w:rsidR="00C31817" w:rsidRDefault="00C31817" w:rsidP="00B25BDE"/>
        </w:tc>
      </w:tr>
    </w:tbl>
    <w:p w14:paraId="03BEAEA7" w14:textId="77777777" w:rsidR="00C31817" w:rsidRDefault="00C31817" w:rsidP="00C31817"/>
    <w:p w14:paraId="3D5EF583" w14:textId="77777777" w:rsidR="007F20A7" w:rsidRPr="00935F78" w:rsidRDefault="007F20A7" w:rsidP="00C31817">
      <w:pPr>
        <w:rPr>
          <w:rFonts w:asciiTheme="minorHAnsi" w:hAnsiTheme="minorHAnsi"/>
          <w:sz w:val="22"/>
          <w:szCs w:val="22"/>
        </w:rPr>
      </w:pPr>
    </w:p>
    <w:sectPr w:rsidR="007F20A7" w:rsidRPr="00935F78" w:rsidSect="00C64F26">
      <w:headerReference w:type="default" r:id="rId9"/>
      <w:footerReference w:type="default" r:id="rId10"/>
      <w:pgSz w:w="16838" w:h="11906" w:orient="landscape"/>
      <w:pgMar w:top="567" w:right="90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ADAB3" w14:textId="77777777" w:rsidR="00E65858" w:rsidRDefault="00E65858" w:rsidP="00C64386">
      <w:r>
        <w:separator/>
      </w:r>
    </w:p>
  </w:endnote>
  <w:endnote w:type="continuationSeparator" w:id="0">
    <w:p w14:paraId="728B9E42" w14:textId="77777777" w:rsidR="00E65858" w:rsidRDefault="00E65858" w:rsidP="00C6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F592" w14:textId="77777777" w:rsidR="00114CFB" w:rsidRPr="00114CFB" w:rsidRDefault="00C64386" w:rsidP="000171EF">
    <w:pPr>
      <w:pStyle w:val="Footer"/>
      <w:rPr>
        <w:rFonts w:ascii="Arial" w:hAnsi="Arial" w:cs="Arial"/>
        <w:sz w:val="16"/>
        <w:szCs w:val="16"/>
      </w:rPr>
    </w:pPr>
    <w:r>
      <w:rPr>
        <w:rFonts w:ascii="Arial" w:hAnsi="Arial" w:cs="Arial"/>
        <w:sz w:val="18"/>
        <w:szCs w:val="18"/>
      </w:rPr>
      <w:t xml:space="preserve">For details of the CDI Careers Framework </w:t>
    </w:r>
    <w:hyperlink r:id="rId1" w:history="1">
      <w:r w:rsidRPr="00405F4F">
        <w:rPr>
          <w:rStyle w:val="Hyperlink"/>
          <w:rFonts w:ascii="Arial" w:hAnsi="Arial" w:cs="Arial"/>
          <w:sz w:val="18"/>
          <w:szCs w:val="18"/>
        </w:rPr>
        <w:t>www.thecdi.net</w:t>
      </w:r>
    </w:hyperlink>
    <w:r>
      <w:rPr>
        <w:rFonts w:ascii="Arial" w:hAnsi="Arial" w:cs="Arial"/>
        <w:sz w:val="18"/>
        <w:szCs w:val="18"/>
      </w:rPr>
      <w:t xml:space="preserve"> </w:t>
    </w:r>
    <w:r w:rsidR="00F50C39" w:rsidRPr="0084765B">
      <w:rPr>
        <w:rFonts w:ascii="Arial" w:hAnsi="Arial" w:cs="Arial"/>
        <w:sz w:val="18"/>
        <w:szCs w:val="18"/>
      </w:rPr>
      <w:t xml:space="preserve">  </w:t>
    </w:r>
  </w:p>
  <w:p w14:paraId="3D5EF593" w14:textId="77777777" w:rsidR="00114CFB" w:rsidRPr="0084765B" w:rsidRDefault="009F6D50" w:rsidP="000171EF">
    <w:pPr>
      <w:pStyle w:val="Footer"/>
      <w:rPr>
        <w:rFonts w:ascii="Arial" w:hAnsi="Arial" w:cs="Arial"/>
        <w:sz w:val="18"/>
        <w:szCs w:val="18"/>
      </w:rPr>
    </w:pPr>
    <w:r>
      <w:rPr>
        <w:rFonts w:ascii="Arial" w:hAnsi="Arial" w:cs="Arial"/>
        <w:sz w:val="18"/>
        <w:szCs w:val="18"/>
      </w:rPr>
      <w:t>March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2E5F4" w14:textId="77777777" w:rsidR="00E65858" w:rsidRDefault="00E65858" w:rsidP="00C64386">
      <w:r>
        <w:separator/>
      </w:r>
    </w:p>
  </w:footnote>
  <w:footnote w:type="continuationSeparator" w:id="0">
    <w:p w14:paraId="4168A964" w14:textId="77777777" w:rsidR="00E65858" w:rsidRDefault="00E65858" w:rsidP="00C64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F590" w14:textId="0D891AEE" w:rsidR="00C203AA" w:rsidRDefault="00A653D5">
    <w:pPr>
      <w:pStyle w:val="Header"/>
      <w:jc w:val="right"/>
    </w:pPr>
  </w:p>
  <w:p w14:paraId="257BBE8C" w14:textId="77777777" w:rsidR="00A51F81" w:rsidRDefault="00A51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1563C"/>
    <w:multiLevelType w:val="hybridMultilevel"/>
    <w:tmpl w:val="68AAC7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7C6A28"/>
    <w:multiLevelType w:val="hybridMultilevel"/>
    <w:tmpl w:val="8B6C4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460F34"/>
    <w:multiLevelType w:val="hybridMultilevel"/>
    <w:tmpl w:val="E2D48900"/>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3506A1B"/>
    <w:multiLevelType w:val="hybridMultilevel"/>
    <w:tmpl w:val="9CDAD63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0501DA"/>
    <w:multiLevelType w:val="hybridMultilevel"/>
    <w:tmpl w:val="9C40D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4218BB"/>
    <w:multiLevelType w:val="hybridMultilevel"/>
    <w:tmpl w:val="C0E23E3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3004248"/>
    <w:multiLevelType w:val="hybridMultilevel"/>
    <w:tmpl w:val="136446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4F3B9E"/>
    <w:multiLevelType w:val="hybridMultilevel"/>
    <w:tmpl w:val="9580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78"/>
    <w:rsid w:val="0000194E"/>
    <w:rsid w:val="00006E16"/>
    <w:rsid w:val="00007D6C"/>
    <w:rsid w:val="00024DEF"/>
    <w:rsid w:val="00041860"/>
    <w:rsid w:val="000454C9"/>
    <w:rsid w:val="00055C74"/>
    <w:rsid w:val="000723FE"/>
    <w:rsid w:val="00074CF7"/>
    <w:rsid w:val="00082BE4"/>
    <w:rsid w:val="0008625E"/>
    <w:rsid w:val="00087F89"/>
    <w:rsid w:val="00091933"/>
    <w:rsid w:val="000A7EEA"/>
    <w:rsid w:val="000B3200"/>
    <w:rsid w:val="000C182E"/>
    <w:rsid w:val="000D0E36"/>
    <w:rsid w:val="000D6D3D"/>
    <w:rsid w:val="000E3638"/>
    <w:rsid w:val="000E4CF7"/>
    <w:rsid w:val="000E68F3"/>
    <w:rsid w:val="00102678"/>
    <w:rsid w:val="00114CCD"/>
    <w:rsid w:val="00114F82"/>
    <w:rsid w:val="00126E8D"/>
    <w:rsid w:val="00127286"/>
    <w:rsid w:val="00130562"/>
    <w:rsid w:val="00133E85"/>
    <w:rsid w:val="00146230"/>
    <w:rsid w:val="001469F0"/>
    <w:rsid w:val="001574A2"/>
    <w:rsid w:val="00160752"/>
    <w:rsid w:val="00170C34"/>
    <w:rsid w:val="00181604"/>
    <w:rsid w:val="00185ECD"/>
    <w:rsid w:val="001A1EBC"/>
    <w:rsid w:val="001B092C"/>
    <w:rsid w:val="001C24C9"/>
    <w:rsid w:val="001C2697"/>
    <w:rsid w:val="001F6BD0"/>
    <w:rsid w:val="00206C1F"/>
    <w:rsid w:val="00212814"/>
    <w:rsid w:val="0022368D"/>
    <w:rsid w:val="00236934"/>
    <w:rsid w:val="00246978"/>
    <w:rsid w:val="0025514E"/>
    <w:rsid w:val="00260119"/>
    <w:rsid w:val="00267376"/>
    <w:rsid w:val="00275C9B"/>
    <w:rsid w:val="00276771"/>
    <w:rsid w:val="002824E0"/>
    <w:rsid w:val="00295145"/>
    <w:rsid w:val="002A5EE3"/>
    <w:rsid w:val="002C26C4"/>
    <w:rsid w:val="002D052C"/>
    <w:rsid w:val="002D3176"/>
    <w:rsid w:val="002D3972"/>
    <w:rsid w:val="002D4413"/>
    <w:rsid w:val="002F612A"/>
    <w:rsid w:val="00305B73"/>
    <w:rsid w:val="0032416A"/>
    <w:rsid w:val="00326C69"/>
    <w:rsid w:val="00361BDC"/>
    <w:rsid w:val="00374EE9"/>
    <w:rsid w:val="003A1B82"/>
    <w:rsid w:val="003A2CC9"/>
    <w:rsid w:val="003C3D06"/>
    <w:rsid w:val="003C4EBA"/>
    <w:rsid w:val="003D5AD7"/>
    <w:rsid w:val="003D7873"/>
    <w:rsid w:val="003F12AB"/>
    <w:rsid w:val="0040764C"/>
    <w:rsid w:val="00410332"/>
    <w:rsid w:val="004337FF"/>
    <w:rsid w:val="004508E0"/>
    <w:rsid w:val="00453A22"/>
    <w:rsid w:val="00474148"/>
    <w:rsid w:val="00485C18"/>
    <w:rsid w:val="00496B9E"/>
    <w:rsid w:val="00496F59"/>
    <w:rsid w:val="00497951"/>
    <w:rsid w:val="004C0AEB"/>
    <w:rsid w:val="004C7461"/>
    <w:rsid w:val="004D2D48"/>
    <w:rsid w:val="005000B8"/>
    <w:rsid w:val="0050039D"/>
    <w:rsid w:val="00521361"/>
    <w:rsid w:val="0053610A"/>
    <w:rsid w:val="00541191"/>
    <w:rsid w:val="005434F9"/>
    <w:rsid w:val="0055166C"/>
    <w:rsid w:val="0056032B"/>
    <w:rsid w:val="00565CE2"/>
    <w:rsid w:val="00573A8E"/>
    <w:rsid w:val="005746A5"/>
    <w:rsid w:val="005762A7"/>
    <w:rsid w:val="0058724C"/>
    <w:rsid w:val="0059276A"/>
    <w:rsid w:val="005965CE"/>
    <w:rsid w:val="005A19E0"/>
    <w:rsid w:val="005A3B8D"/>
    <w:rsid w:val="005C10DB"/>
    <w:rsid w:val="005D13FA"/>
    <w:rsid w:val="005D5D6A"/>
    <w:rsid w:val="005E250F"/>
    <w:rsid w:val="005F77A4"/>
    <w:rsid w:val="0060006D"/>
    <w:rsid w:val="006000CE"/>
    <w:rsid w:val="006057B1"/>
    <w:rsid w:val="00616230"/>
    <w:rsid w:val="0062690D"/>
    <w:rsid w:val="006275B5"/>
    <w:rsid w:val="00632B1E"/>
    <w:rsid w:val="006337EB"/>
    <w:rsid w:val="00643D7C"/>
    <w:rsid w:val="00650F23"/>
    <w:rsid w:val="00654BC4"/>
    <w:rsid w:val="00660187"/>
    <w:rsid w:val="006638BF"/>
    <w:rsid w:val="0067067E"/>
    <w:rsid w:val="006717AE"/>
    <w:rsid w:val="00690A62"/>
    <w:rsid w:val="00697484"/>
    <w:rsid w:val="006B4776"/>
    <w:rsid w:val="006B7452"/>
    <w:rsid w:val="006E174D"/>
    <w:rsid w:val="006F27F2"/>
    <w:rsid w:val="007044EB"/>
    <w:rsid w:val="007129CD"/>
    <w:rsid w:val="00722791"/>
    <w:rsid w:val="00723935"/>
    <w:rsid w:val="00741597"/>
    <w:rsid w:val="00742141"/>
    <w:rsid w:val="00746F69"/>
    <w:rsid w:val="0075211E"/>
    <w:rsid w:val="00756CDD"/>
    <w:rsid w:val="007574D8"/>
    <w:rsid w:val="00760AF2"/>
    <w:rsid w:val="00792508"/>
    <w:rsid w:val="007A07E1"/>
    <w:rsid w:val="007B037B"/>
    <w:rsid w:val="007B73F9"/>
    <w:rsid w:val="007C6880"/>
    <w:rsid w:val="007C6D99"/>
    <w:rsid w:val="007D59CB"/>
    <w:rsid w:val="007D6EA3"/>
    <w:rsid w:val="007D7673"/>
    <w:rsid w:val="007E66B8"/>
    <w:rsid w:val="007F20A7"/>
    <w:rsid w:val="007F424F"/>
    <w:rsid w:val="007F792E"/>
    <w:rsid w:val="00811097"/>
    <w:rsid w:val="008112EB"/>
    <w:rsid w:val="00825259"/>
    <w:rsid w:val="008262CC"/>
    <w:rsid w:val="00834A35"/>
    <w:rsid w:val="00835BAF"/>
    <w:rsid w:val="008501B8"/>
    <w:rsid w:val="00857718"/>
    <w:rsid w:val="00866D7F"/>
    <w:rsid w:val="00872352"/>
    <w:rsid w:val="00886E25"/>
    <w:rsid w:val="00890096"/>
    <w:rsid w:val="008953CA"/>
    <w:rsid w:val="008A30E5"/>
    <w:rsid w:val="008B02F1"/>
    <w:rsid w:val="008B6E57"/>
    <w:rsid w:val="008D3D23"/>
    <w:rsid w:val="008D5B31"/>
    <w:rsid w:val="00904E3E"/>
    <w:rsid w:val="0091086D"/>
    <w:rsid w:val="009129CE"/>
    <w:rsid w:val="00912DF6"/>
    <w:rsid w:val="0092213E"/>
    <w:rsid w:val="00932B56"/>
    <w:rsid w:val="00935F78"/>
    <w:rsid w:val="00936678"/>
    <w:rsid w:val="00950CD5"/>
    <w:rsid w:val="00975A18"/>
    <w:rsid w:val="00985DB9"/>
    <w:rsid w:val="009A299D"/>
    <w:rsid w:val="009A31A3"/>
    <w:rsid w:val="009B0F4E"/>
    <w:rsid w:val="009B4067"/>
    <w:rsid w:val="009C199A"/>
    <w:rsid w:val="009E2B00"/>
    <w:rsid w:val="009E5DFC"/>
    <w:rsid w:val="009F3904"/>
    <w:rsid w:val="009F3A5F"/>
    <w:rsid w:val="009F6D50"/>
    <w:rsid w:val="00A01BCD"/>
    <w:rsid w:val="00A17957"/>
    <w:rsid w:val="00A310F4"/>
    <w:rsid w:val="00A51620"/>
    <w:rsid w:val="00A51F81"/>
    <w:rsid w:val="00A57671"/>
    <w:rsid w:val="00A622EE"/>
    <w:rsid w:val="00A653D5"/>
    <w:rsid w:val="00A74207"/>
    <w:rsid w:val="00A96594"/>
    <w:rsid w:val="00AA0C96"/>
    <w:rsid w:val="00AB70A6"/>
    <w:rsid w:val="00AC2944"/>
    <w:rsid w:val="00AC51DE"/>
    <w:rsid w:val="00AC7EAE"/>
    <w:rsid w:val="00AD5DD3"/>
    <w:rsid w:val="00AD76B3"/>
    <w:rsid w:val="00AE17F8"/>
    <w:rsid w:val="00AF1FEF"/>
    <w:rsid w:val="00AF3593"/>
    <w:rsid w:val="00B0235E"/>
    <w:rsid w:val="00B244A6"/>
    <w:rsid w:val="00B251FD"/>
    <w:rsid w:val="00B3590D"/>
    <w:rsid w:val="00B35A91"/>
    <w:rsid w:val="00B52657"/>
    <w:rsid w:val="00B60A69"/>
    <w:rsid w:val="00B64266"/>
    <w:rsid w:val="00B6577A"/>
    <w:rsid w:val="00B670DF"/>
    <w:rsid w:val="00B676B7"/>
    <w:rsid w:val="00B75F66"/>
    <w:rsid w:val="00B760B9"/>
    <w:rsid w:val="00B861AE"/>
    <w:rsid w:val="00B934A5"/>
    <w:rsid w:val="00B94300"/>
    <w:rsid w:val="00BA2FAA"/>
    <w:rsid w:val="00BB1A05"/>
    <w:rsid w:val="00BB3FB9"/>
    <w:rsid w:val="00BB46A2"/>
    <w:rsid w:val="00BC2733"/>
    <w:rsid w:val="00BD4B9D"/>
    <w:rsid w:val="00BF162A"/>
    <w:rsid w:val="00C15258"/>
    <w:rsid w:val="00C25474"/>
    <w:rsid w:val="00C31817"/>
    <w:rsid w:val="00C40D38"/>
    <w:rsid w:val="00C41E3F"/>
    <w:rsid w:val="00C60D28"/>
    <w:rsid w:val="00C64386"/>
    <w:rsid w:val="00C677C3"/>
    <w:rsid w:val="00C82F9B"/>
    <w:rsid w:val="00CC3ED7"/>
    <w:rsid w:val="00CD2FCF"/>
    <w:rsid w:val="00CD451D"/>
    <w:rsid w:val="00CE31C7"/>
    <w:rsid w:val="00D252F7"/>
    <w:rsid w:val="00D51C55"/>
    <w:rsid w:val="00D55F77"/>
    <w:rsid w:val="00D61589"/>
    <w:rsid w:val="00D66CBB"/>
    <w:rsid w:val="00D72308"/>
    <w:rsid w:val="00D97D24"/>
    <w:rsid w:val="00DA3A52"/>
    <w:rsid w:val="00DA5E31"/>
    <w:rsid w:val="00DB591A"/>
    <w:rsid w:val="00DC6EC1"/>
    <w:rsid w:val="00DE27D2"/>
    <w:rsid w:val="00E0517E"/>
    <w:rsid w:val="00E1067B"/>
    <w:rsid w:val="00E21815"/>
    <w:rsid w:val="00E24C88"/>
    <w:rsid w:val="00E26410"/>
    <w:rsid w:val="00E30968"/>
    <w:rsid w:val="00E42247"/>
    <w:rsid w:val="00E510AD"/>
    <w:rsid w:val="00E63B6A"/>
    <w:rsid w:val="00E65858"/>
    <w:rsid w:val="00E6631C"/>
    <w:rsid w:val="00E66EC2"/>
    <w:rsid w:val="00E748E7"/>
    <w:rsid w:val="00E91351"/>
    <w:rsid w:val="00E96AAC"/>
    <w:rsid w:val="00EA2A74"/>
    <w:rsid w:val="00EB0865"/>
    <w:rsid w:val="00EE637F"/>
    <w:rsid w:val="00EE65BD"/>
    <w:rsid w:val="00EF35E9"/>
    <w:rsid w:val="00F21E2B"/>
    <w:rsid w:val="00F33BD5"/>
    <w:rsid w:val="00F369A4"/>
    <w:rsid w:val="00F50C39"/>
    <w:rsid w:val="00F900F1"/>
    <w:rsid w:val="00FC19F3"/>
    <w:rsid w:val="00FC6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EF500"/>
  <w15:chartTrackingRefBased/>
  <w15:docId w15:val="{D9C386DF-5C7F-416F-B920-E638845B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F7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5F78"/>
    <w:rPr>
      <w:color w:val="0000FF"/>
      <w:u w:val="single"/>
    </w:rPr>
  </w:style>
  <w:style w:type="paragraph" w:styleId="Header">
    <w:name w:val="header"/>
    <w:basedOn w:val="Normal"/>
    <w:link w:val="HeaderChar"/>
    <w:uiPriority w:val="99"/>
    <w:rsid w:val="00935F78"/>
    <w:pPr>
      <w:tabs>
        <w:tab w:val="center" w:pos="4153"/>
        <w:tab w:val="right" w:pos="8306"/>
      </w:tabs>
    </w:pPr>
  </w:style>
  <w:style w:type="character" w:customStyle="1" w:styleId="HeaderChar">
    <w:name w:val="Header Char"/>
    <w:basedOn w:val="DefaultParagraphFont"/>
    <w:link w:val="Header"/>
    <w:uiPriority w:val="99"/>
    <w:rsid w:val="00935F78"/>
    <w:rPr>
      <w:rFonts w:ascii="Times New Roman" w:eastAsia="Times New Roman" w:hAnsi="Times New Roman" w:cs="Times New Roman"/>
      <w:sz w:val="24"/>
      <w:szCs w:val="24"/>
      <w:lang w:eastAsia="en-GB"/>
    </w:rPr>
  </w:style>
  <w:style w:type="paragraph" w:styleId="Footer">
    <w:name w:val="footer"/>
    <w:basedOn w:val="Normal"/>
    <w:link w:val="FooterChar"/>
    <w:rsid w:val="00935F78"/>
    <w:pPr>
      <w:tabs>
        <w:tab w:val="center" w:pos="4153"/>
        <w:tab w:val="right" w:pos="8306"/>
      </w:tabs>
    </w:pPr>
  </w:style>
  <w:style w:type="character" w:customStyle="1" w:styleId="FooterChar">
    <w:name w:val="Footer Char"/>
    <w:basedOn w:val="DefaultParagraphFont"/>
    <w:link w:val="Footer"/>
    <w:rsid w:val="00935F7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35F78"/>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935F78"/>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74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hecd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Wright</dc:creator>
  <cp:keywords/>
  <dc:description/>
  <cp:lastModifiedBy>Simon Wareham</cp:lastModifiedBy>
  <cp:revision>4</cp:revision>
  <dcterms:created xsi:type="dcterms:W3CDTF">2020-05-01T11:57:00Z</dcterms:created>
  <dcterms:modified xsi:type="dcterms:W3CDTF">2020-05-04T14:25:00Z</dcterms:modified>
</cp:coreProperties>
</file>